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ECDA" w14:textId="77777777" w:rsidR="00AC2E37" w:rsidRDefault="00AC2E37" w:rsidP="00AC2E37"/>
    <w:p w14:paraId="556FBE8A" w14:textId="0465FB20" w:rsidR="00AC2E37" w:rsidRDefault="00AC2E37" w:rsidP="00AC2E37">
      <w:pPr>
        <w:jc w:val="center"/>
        <w:rPr>
          <w:b/>
          <w:bCs/>
          <w:sz w:val="36"/>
          <w:szCs w:val="36"/>
        </w:rPr>
      </w:pPr>
      <w:r>
        <w:rPr>
          <w:b/>
          <w:bCs/>
          <w:sz w:val="36"/>
          <w:szCs w:val="36"/>
        </w:rPr>
        <w:t>FORSLAG – Høringsutkast</w:t>
      </w:r>
    </w:p>
    <w:p w14:paraId="42444043" w14:textId="12E0BFE7" w:rsidR="00AC2E37" w:rsidRDefault="00AC2E37" w:rsidP="00AC2E37">
      <w:pPr>
        <w:jc w:val="center"/>
        <w:rPr>
          <w:sz w:val="32"/>
          <w:szCs w:val="32"/>
        </w:rPr>
      </w:pPr>
      <w:r>
        <w:rPr>
          <w:sz w:val="32"/>
          <w:szCs w:val="32"/>
        </w:rPr>
        <w:t xml:space="preserve">(Skriftlig tilbakemelding sendes </w:t>
      </w:r>
      <w:hyperlink r:id="rId5" w:history="1">
        <w:r w:rsidRPr="00161799">
          <w:rPr>
            <w:rStyle w:val="Hyperkobling"/>
            <w:sz w:val="32"/>
            <w:szCs w:val="32"/>
          </w:rPr>
          <w:t>postmottak@flakstad.kommune.no</w:t>
        </w:r>
      </w:hyperlink>
      <w:r>
        <w:rPr>
          <w:sz w:val="32"/>
          <w:szCs w:val="32"/>
        </w:rPr>
        <w:t xml:space="preserve"> innen 11.12.23 kl.15.00)</w:t>
      </w:r>
    </w:p>
    <w:p w14:paraId="532ECD6B" w14:textId="77777777" w:rsidR="00AC2E37" w:rsidRDefault="00AC2E37" w:rsidP="00AC2E37">
      <w:pPr>
        <w:jc w:val="center"/>
        <w:rPr>
          <w:sz w:val="32"/>
          <w:szCs w:val="32"/>
        </w:rPr>
      </w:pPr>
    </w:p>
    <w:p w14:paraId="10AFC4A3" w14:textId="77777777" w:rsidR="00AC2E37" w:rsidRPr="00AC2E37" w:rsidRDefault="00AC2E37" w:rsidP="00AC2E37">
      <w:pPr>
        <w:jc w:val="center"/>
        <w:rPr>
          <w:sz w:val="32"/>
          <w:szCs w:val="32"/>
        </w:rPr>
      </w:pPr>
    </w:p>
    <w:p w14:paraId="3AED8DE6" w14:textId="77777777" w:rsidR="00AC2E37" w:rsidRPr="003845C1" w:rsidRDefault="00AC2E37" w:rsidP="00AC2E37">
      <w:pPr>
        <w:jc w:val="center"/>
        <w:rPr>
          <w:b/>
          <w:bCs/>
          <w:sz w:val="32"/>
          <w:szCs w:val="32"/>
        </w:rPr>
      </w:pPr>
      <w:r w:rsidRPr="003845C1">
        <w:rPr>
          <w:b/>
          <w:bCs/>
          <w:sz w:val="32"/>
          <w:szCs w:val="32"/>
        </w:rPr>
        <w:t>Forskrift om folkevalgtes rett til godtgjøring og velferdsgoder, Flakstad kommune</w:t>
      </w:r>
    </w:p>
    <w:p w14:paraId="46697B42" w14:textId="77777777" w:rsidR="00AC2E37" w:rsidRPr="003845C1" w:rsidRDefault="00AC2E37" w:rsidP="00AC2E37">
      <w:pPr>
        <w:rPr>
          <w:i/>
          <w:iCs/>
        </w:rPr>
      </w:pPr>
      <w:r w:rsidRPr="003845C1">
        <w:rPr>
          <w:i/>
          <w:iCs/>
        </w:rPr>
        <w:t xml:space="preserve">Fastsatt av Flakstad kommunestyre ……. med hjemmel i lov av 22. juni 2018 nr. 83 om kommuner og fylkeskommuner (kommuneloven) § 8-3, § 8-4, § 8-6, § 8-7, § 8-8, §8-9, § 8-10. </w:t>
      </w:r>
    </w:p>
    <w:p w14:paraId="57AA707C" w14:textId="77777777" w:rsidR="00AC2E37" w:rsidRDefault="00AC2E37" w:rsidP="00AC2E37">
      <w:pPr>
        <w:rPr>
          <w:sz w:val="24"/>
          <w:szCs w:val="24"/>
        </w:rPr>
      </w:pPr>
    </w:p>
    <w:p w14:paraId="40AA3943" w14:textId="77777777" w:rsidR="00AC2E37" w:rsidRDefault="00AC2E37" w:rsidP="00AC2E37">
      <w:pPr>
        <w:rPr>
          <w:b/>
          <w:bCs/>
          <w:sz w:val="24"/>
          <w:szCs w:val="24"/>
        </w:rPr>
      </w:pPr>
      <w:r>
        <w:rPr>
          <w:b/>
          <w:bCs/>
          <w:sz w:val="24"/>
          <w:szCs w:val="24"/>
        </w:rPr>
        <w:t xml:space="preserve">§ 1. Formål </w:t>
      </w:r>
    </w:p>
    <w:p w14:paraId="5D638E9D" w14:textId="77777777" w:rsidR="00AC2E37" w:rsidRDefault="00AC2E37" w:rsidP="00AC2E37">
      <w:pPr>
        <w:rPr>
          <w:sz w:val="24"/>
          <w:szCs w:val="24"/>
        </w:rPr>
      </w:pPr>
      <w:r>
        <w:rPr>
          <w:sz w:val="24"/>
          <w:szCs w:val="24"/>
        </w:rPr>
        <w:t xml:space="preserve">Forskriften skal regulere rettigheter, plikter og godtgjøringer for folkevalgte i Flakstad kommune etter kommunelovens kapittel 8. </w:t>
      </w:r>
    </w:p>
    <w:p w14:paraId="4F62FD9E" w14:textId="77777777" w:rsidR="00AC2E37" w:rsidRDefault="00AC2E37" w:rsidP="00AC2E37">
      <w:pPr>
        <w:rPr>
          <w:sz w:val="24"/>
          <w:szCs w:val="24"/>
        </w:rPr>
      </w:pPr>
    </w:p>
    <w:p w14:paraId="23A87569" w14:textId="77777777" w:rsidR="00AC2E37" w:rsidRDefault="00AC2E37" w:rsidP="00AC2E37">
      <w:pPr>
        <w:rPr>
          <w:b/>
          <w:bCs/>
          <w:sz w:val="24"/>
          <w:szCs w:val="24"/>
        </w:rPr>
      </w:pPr>
      <w:r>
        <w:rPr>
          <w:b/>
          <w:bCs/>
          <w:sz w:val="24"/>
          <w:szCs w:val="24"/>
        </w:rPr>
        <w:t xml:space="preserve">§ 2. Virkeområde </w:t>
      </w:r>
    </w:p>
    <w:p w14:paraId="10ACFCE9" w14:textId="77777777" w:rsidR="00AC2E37" w:rsidRDefault="00AC2E37" w:rsidP="00AC2E37">
      <w:pPr>
        <w:rPr>
          <w:sz w:val="24"/>
          <w:szCs w:val="24"/>
        </w:rPr>
      </w:pPr>
      <w:r>
        <w:rPr>
          <w:sz w:val="24"/>
          <w:szCs w:val="24"/>
        </w:rPr>
        <w:t xml:space="preserve">Forskriften gjelder for alle som har et kommunalt tillitsverv. Forskriften gjelder for deltagelse i møter i folkevalgte organer, forhandlinger, befaringer og annet som har direkte sammenheng med vervet, og som ikke får godtgjørelse av andre instanser </w:t>
      </w:r>
      <w:proofErr w:type="spellStart"/>
      <w:r>
        <w:rPr>
          <w:sz w:val="24"/>
          <w:szCs w:val="24"/>
        </w:rPr>
        <w:t>ihht</w:t>
      </w:r>
      <w:proofErr w:type="spellEnd"/>
      <w:r>
        <w:rPr>
          <w:sz w:val="24"/>
          <w:szCs w:val="24"/>
        </w:rPr>
        <w:t xml:space="preserve"> lover og regler.</w:t>
      </w:r>
    </w:p>
    <w:p w14:paraId="576F4039" w14:textId="77777777" w:rsidR="00AC2E37" w:rsidRDefault="00AC2E37" w:rsidP="00AC2E37">
      <w:pPr>
        <w:rPr>
          <w:sz w:val="24"/>
          <w:szCs w:val="24"/>
        </w:rPr>
      </w:pPr>
      <w:r>
        <w:rPr>
          <w:sz w:val="24"/>
          <w:szCs w:val="24"/>
        </w:rPr>
        <w:t xml:space="preserve">Kommunale arbeidstakerrepresentanter som er utvalgs-/komitemedlemmer skal ha samme form for godtgjørelse som de politisk valgte medlemmer med følgende unntak: Det utbetales ikke tapt arbeidsfortjeneste til kommunale arbeidstakere for møter som holdes i ordinær arbeidstid. </w:t>
      </w:r>
    </w:p>
    <w:p w14:paraId="61FFB2C8" w14:textId="77777777" w:rsidR="00AC2E37" w:rsidRDefault="00AC2E37" w:rsidP="00AC2E37">
      <w:pPr>
        <w:rPr>
          <w:sz w:val="24"/>
          <w:szCs w:val="24"/>
        </w:rPr>
      </w:pPr>
      <w:r>
        <w:rPr>
          <w:sz w:val="24"/>
          <w:szCs w:val="24"/>
        </w:rPr>
        <w:t xml:space="preserve">Kommunale arbeidstakere som deltar i møter/utvalgsarbeid i kraft av sin stilling/funksjon, skal ikke ha arbeidsgodtgjørelse mv. Dette forhold reguleres av hovedtariffavtalens bestemmelser. </w:t>
      </w:r>
    </w:p>
    <w:p w14:paraId="297A87F6" w14:textId="77777777" w:rsidR="00AC2E37" w:rsidRDefault="00AC2E37" w:rsidP="00AC2E37">
      <w:pPr>
        <w:rPr>
          <w:sz w:val="24"/>
          <w:szCs w:val="24"/>
        </w:rPr>
      </w:pPr>
      <w:r>
        <w:rPr>
          <w:sz w:val="24"/>
          <w:szCs w:val="24"/>
        </w:rPr>
        <w:t xml:space="preserve">Det gis ikke møtegodtgjøring for gruppemøter, fraksjonsmøter eller andre møter i partiene. </w:t>
      </w:r>
    </w:p>
    <w:p w14:paraId="5CBEB205" w14:textId="77777777" w:rsidR="00AC2E37" w:rsidRDefault="00AC2E37" w:rsidP="00AC2E37">
      <w:pPr>
        <w:rPr>
          <w:sz w:val="24"/>
          <w:szCs w:val="24"/>
        </w:rPr>
      </w:pPr>
      <w:r>
        <w:rPr>
          <w:sz w:val="24"/>
          <w:szCs w:val="24"/>
        </w:rPr>
        <w:t xml:space="preserve">Folkevalgte mottar ikke lønn, men godtgjørelse, det vil si at utbetalingen ikke gir rett til feriepenger. Godtgjørelsen er en kompensasjon for arbeidet som utføres i vervet som folkevalgt, der er oppgavepliktig og skattepliktig. </w:t>
      </w:r>
    </w:p>
    <w:p w14:paraId="1AC058DD" w14:textId="77777777" w:rsidR="00AC2E37" w:rsidRDefault="00AC2E37" w:rsidP="00AC2E37">
      <w:pPr>
        <w:rPr>
          <w:sz w:val="24"/>
          <w:szCs w:val="24"/>
        </w:rPr>
      </w:pPr>
    </w:p>
    <w:p w14:paraId="601DD11A" w14:textId="77777777" w:rsidR="00AC2E37" w:rsidRDefault="00AC2E37" w:rsidP="00AC2E37">
      <w:pPr>
        <w:rPr>
          <w:b/>
          <w:bCs/>
          <w:sz w:val="24"/>
          <w:szCs w:val="24"/>
        </w:rPr>
      </w:pPr>
      <w:r>
        <w:rPr>
          <w:b/>
          <w:bCs/>
          <w:sz w:val="24"/>
          <w:szCs w:val="24"/>
        </w:rPr>
        <w:t xml:space="preserve">§ 3. Rett til dekning av utgifter og økonomisk tap </w:t>
      </w:r>
    </w:p>
    <w:p w14:paraId="72EBC2D6" w14:textId="77777777" w:rsidR="00AC2E37" w:rsidRDefault="00AC2E37" w:rsidP="00AC2E37">
      <w:pPr>
        <w:rPr>
          <w:sz w:val="24"/>
          <w:szCs w:val="24"/>
        </w:rPr>
      </w:pPr>
      <w:r>
        <w:rPr>
          <w:sz w:val="24"/>
          <w:szCs w:val="24"/>
        </w:rPr>
        <w:t xml:space="preserve">Den som har et tillitsverv i Flakstad kommune har krav på: </w:t>
      </w:r>
    </w:p>
    <w:p w14:paraId="599E7743" w14:textId="77777777" w:rsidR="00AC2E37" w:rsidRPr="00DC7130" w:rsidRDefault="00AC2E37" w:rsidP="00AC2E37">
      <w:pPr>
        <w:pStyle w:val="Listeavsnitt"/>
        <w:numPr>
          <w:ilvl w:val="0"/>
          <w:numId w:val="2"/>
        </w:numPr>
        <w:rPr>
          <w:sz w:val="24"/>
          <w:szCs w:val="24"/>
        </w:rPr>
      </w:pPr>
      <w:r w:rsidRPr="00DC7130">
        <w:rPr>
          <w:sz w:val="24"/>
          <w:szCs w:val="24"/>
        </w:rPr>
        <w:t>skyss, kost og overnattingsgodtgjørelse for reiser i forbindelse med vervet utbetales</w:t>
      </w:r>
      <w:r>
        <w:rPr>
          <w:sz w:val="24"/>
          <w:szCs w:val="24"/>
        </w:rPr>
        <w:t xml:space="preserve"> </w:t>
      </w:r>
      <w:r w:rsidRPr="00DC7130">
        <w:rPr>
          <w:sz w:val="24"/>
          <w:szCs w:val="24"/>
        </w:rPr>
        <w:t xml:space="preserve">etter reglene i statens reiseregulativ. </w:t>
      </w:r>
    </w:p>
    <w:p w14:paraId="2F52385B" w14:textId="77777777" w:rsidR="00AC2E37" w:rsidRPr="00DC7130" w:rsidRDefault="00AC2E37" w:rsidP="00AC2E37">
      <w:pPr>
        <w:pStyle w:val="Listeavsnitt"/>
        <w:numPr>
          <w:ilvl w:val="0"/>
          <w:numId w:val="2"/>
        </w:numPr>
        <w:rPr>
          <w:sz w:val="24"/>
          <w:szCs w:val="24"/>
        </w:rPr>
      </w:pPr>
      <w:r w:rsidRPr="00DC7130">
        <w:rPr>
          <w:sz w:val="24"/>
          <w:szCs w:val="24"/>
        </w:rPr>
        <w:t xml:space="preserve">dekning av legitimerte utgifter som følge av vervet, som utgifter til omsorgstjeneste, eks. barnepass, tilsyn med syke eller funksjonshemmede man i forbindelse med vervet ikke selv kan utføre. </w:t>
      </w:r>
    </w:p>
    <w:p w14:paraId="0048CDEF" w14:textId="77777777" w:rsidR="00AC2E37" w:rsidRPr="00DC7130" w:rsidRDefault="00AC2E37" w:rsidP="00AC2E37">
      <w:pPr>
        <w:pStyle w:val="Listeavsnitt"/>
        <w:numPr>
          <w:ilvl w:val="0"/>
          <w:numId w:val="2"/>
        </w:numPr>
        <w:rPr>
          <w:sz w:val="24"/>
          <w:szCs w:val="24"/>
        </w:rPr>
      </w:pPr>
      <w:r w:rsidRPr="00DC7130">
        <w:rPr>
          <w:sz w:val="24"/>
          <w:szCs w:val="24"/>
        </w:rPr>
        <w:t xml:space="preserve">legitimert og ulegitimert tap av inntekt som følge av vervet, herunder deltagelse på kurs, konferanser mv. </w:t>
      </w:r>
    </w:p>
    <w:p w14:paraId="0410F942" w14:textId="77777777" w:rsidR="00AC2E37" w:rsidRDefault="00AC2E37" w:rsidP="00AC2E37">
      <w:pPr>
        <w:rPr>
          <w:sz w:val="24"/>
          <w:szCs w:val="24"/>
        </w:rPr>
      </w:pPr>
      <w:r>
        <w:rPr>
          <w:sz w:val="24"/>
          <w:szCs w:val="24"/>
        </w:rPr>
        <w:t xml:space="preserve">Krav etter første ledd bokstav a, skal dokumenteres og fremsettes for politisk sekretær så snart som mulig. Krav etter første ledd bokstav b dekkes etter regning. Krav etter første ledd </w:t>
      </w:r>
      <w:r>
        <w:rPr>
          <w:sz w:val="24"/>
          <w:szCs w:val="24"/>
        </w:rPr>
        <w:lastRenderedPageBreak/>
        <w:t xml:space="preserve">bokstav c som ikke kan dokumenteres, dekkes dersom utgiftene er sannsynliggjort på annen måte. </w:t>
      </w:r>
    </w:p>
    <w:p w14:paraId="1A370BA2" w14:textId="77777777" w:rsidR="00AC2E37" w:rsidRDefault="00AC2E37" w:rsidP="00AC2E37">
      <w:pPr>
        <w:rPr>
          <w:sz w:val="24"/>
          <w:szCs w:val="24"/>
        </w:rPr>
      </w:pPr>
    </w:p>
    <w:p w14:paraId="4CC5FF9B" w14:textId="77777777" w:rsidR="00AC2E37" w:rsidRDefault="00AC2E37" w:rsidP="00AC2E37">
      <w:pPr>
        <w:rPr>
          <w:b/>
          <w:bCs/>
          <w:sz w:val="24"/>
          <w:szCs w:val="24"/>
        </w:rPr>
      </w:pPr>
      <w:r>
        <w:rPr>
          <w:b/>
          <w:bCs/>
          <w:sz w:val="24"/>
          <w:szCs w:val="24"/>
        </w:rPr>
        <w:t xml:space="preserve">§ 4. Utmåling av utgifter og økonomisk tap </w:t>
      </w:r>
    </w:p>
    <w:p w14:paraId="62EBC858" w14:textId="77777777" w:rsidR="00AC2E37" w:rsidRDefault="00AC2E37" w:rsidP="00AC2E37">
      <w:pPr>
        <w:rPr>
          <w:sz w:val="24"/>
          <w:szCs w:val="24"/>
        </w:rPr>
      </w:pPr>
      <w:r>
        <w:rPr>
          <w:sz w:val="24"/>
          <w:szCs w:val="24"/>
        </w:rPr>
        <w:t xml:space="preserve">Skyss, kost og overnattingsgodtgjørelse etter § 3 første ledd bokstav a, gis for reiser med minimum reiseavstand på 10 km hver vei med utgangspunkt i folkeregistrert adresse, etter satser i statens reiseregulativ. Utgifter etter § 3 første ledd bokstav b, dekkes etter regning begrenset oppad til gjeldene kommunale satser for omsorgslønn. </w:t>
      </w:r>
    </w:p>
    <w:p w14:paraId="0A71B0D6" w14:textId="77777777" w:rsidR="00AC2E37" w:rsidRDefault="00AC2E37" w:rsidP="00AC2E37">
      <w:pPr>
        <w:rPr>
          <w:sz w:val="24"/>
          <w:szCs w:val="24"/>
        </w:rPr>
      </w:pPr>
      <w:r>
        <w:rPr>
          <w:sz w:val="24"/>
          <w:szCs w:val="24"/>
        </w:rPr>
        <w:t xml:space="preserve">Tapt inntekt etter § 3 første ledd bokstav c dekkes slik: </w:t>
      </w:r>
    </w:p>
    <w:p w14:paraId="4699C58D" w14:textId="77777777" w:rsidR="00AC2E37" w:rsidRPr="00AE1FD7" w:rsidRDefault="00AC2E37" w:rsidP="00AC2E37">
      <w:pPr>
        <w:pStyle w:val="Listeavsnitt"/>
        <w:numPr>
          <w:ilvl w:val="0"/>
          <w:numId w:val="4"/>
        </w:numPr>
        <w:ind w:left="360"/>
        <w:rPr>
          <w:sz w:val="24"/>
          <w:szCs w:val="24"/>
        </w:rPr>
      </w:pPr>
      <w:r w:rsidRPr="00AE1FD7">
        <w:rPr>
          <w:b/>
          <w:bCs/>
          <w:sz w:val="24"/>
          <w:szCs w:val="24"/>
        </w:rPr>
        <w:t>Legitimert</w:t>
      </w:r>
      <w:r w:rsidRPr="00AE1FD7">
        <w:rPr>
          <w:sz w:val="24"/>
          <w:szCs w:val="24"/>
        </w:rPr>
        <w:t xml:space="preserve"> </w:t>
      </w:r>
      <w:r w:rsidRPr="00AE1FD7">
        <w:rPr>
          <w:b/>
          <w:bCs/>
          <w:sz w:val="24"/>
          <w:szCs w:val="24"/>
        </w:rPr>
        <w:t>tap</w:t>
      </w:r>
      <w:r w:rsidRPr="00AE1FD7">
        <w:rPr>
          <w:sz w:val="24"/>
          <w:szCs w:val="24"/>
        </w:rPr>
        <w:t xml:space="preserve"> - dekkes inntil ordførers dagslønn eks. feriepenger </w:t>
      </w:r>
      <w:r>
        <w:rPr>
          <w:sz w:val="24"/>
          <w:szCs w:val="24"/>
        </w:rPr>
        <w:br/>
      </w:r>
    </w:p>
    <w:p w14:paraId="143C9AD3" w14:textId="77777777" w:rsidR="00AC2E37" w:rsidRPr="00AE1FD7" w:rsidRDefault="00AC2E37" w:rsidP="00AC2E37">
      <w:pPr>
        <w:pStyle w:val="Listeavsnitt"/>
        <w:numPr>
          <w:ilvl w:val="0"/>
          <w:numId w:val="4"/>
        </w:numPr>
        <w:ind w:left="360"/>
        <w:rPr>
          <w:sz w:val="24"/>
          <w:szCs w:val="24"/>
        </w:rPr>
      </w:pPr>
      <w:r w:rsidRPr="00AE1FD7">
        <w:rPr>
          <w:b/>
          <w:bCs/>
          <w:sz w:val="24"/>
          <w:szCs w:val="24"/>
        </w:rPr>
        <w:t>Selvstendig næringsdrivende som legitimerer sitt tap</w:t>
      </w:r>
      <w:r w:rsidRPr="00AE1FD7">
        <w:rPr>
          <w:sz w:val="24"/>
          <w:szCs w:val="24"/>
        </w:rPr>
        <w:t xml:space="preserve"> </w:t>
      </w:r>
    </w:p>
    <w:p w14:paraId="740C5A01" w14:textId="77777777" w:rsidR="00AC2E37" w:rsidRPr="00AE1FD7" w:rsidRDefault="00AC2E37" w:rsidP="00AC2E37">
      <w:pPr>
        <w:pStyle w:val="Listeavsnitt"/>
        <w:numPr>
          <w:ilvl w:val="1"/>
          <w:numId w:val="4"/>
        </w:numPr>
        <w:ind w:left="1080"/>
      </w:pPr>
      <w:r w:rsidRPr="00AE1FD7">
        <w:rPr>
          <w:sz w:val="24"/>
          <w:szCs w:val="24"/>
        </w:rPr>
        <w:t xml:space="preserve">Møter inntil 4 timer dekkes inntil halvparten av ordførers dagslønn </w:t>
      </w:r>
    </w:p>
    <w:p w14:paraId="18E5D1E6" w14:textId="77777777" w:rsidR="00AC2E37" w:rsidRPr="00AE1FD7" w:rsidRDefault="00AC2E37" w:rsidP="00AC2E37">
      <w:pPr>
        <w:pStyle w:val="Listeavsnitt"/>
        <w:numPr>
          <w:ilvl w:val="1"/>
          <w:numId w:val="4"/>
        </w:numPr>
        <w:ind w:left="1080"/>
      </w:pPr>
      <w:r w:rsidRPr="00AE1FD7">
        <w:rPr>
          <w:sz w:val="24"/>
          <w:szCs w:val="24"/>
        </w:rPr>
        <w:t>Møter utover 4 timer dekkes inntil ordførers dagslønn</w:t>
      </w:r>
    </w:p>
    <w:p w14:paraId="43B23002" w14:textId="77777777" w:rsidR="00AC2E37" w:rsidRDefault="00AC2E37" w:rsidP="00AC2E37">
      <w:pPr>
        <w:pStyle w:val="Listeavsnitt"/>
        <w:ind w:left="360"/>
      </w:pPr>
    </w:p>
    <w:p w14:paraId="25E89332" w14:textId="77777777" w:rsidR="00AC2E37" w:rsidRPr="00AE1FD7" w:rsidRDefault="00AC2E37" w:rsidP="00AC2E37">
      <w:pPr>
        <w:pStyle w:val="Listeavsnitt"/>
        <w:numPr>
          <w:ilvl w:val="0"/>
          <w:numId w:val="5"/>
        </w:numPr>
        <w:ind w:left="360"/>
        <w:rPr>
          <w:sz w:val="24"/>
          <w:szCs w:val="24"/>
        </w:rPr>
      </w:pPr>
      <w:r w:rsidRPr="00AE1FD7">
        <w:rPr>
          <w:b/>
          <w:bCs/>
          <w:sz w:val="24"/>
          <w:szCs w:val="24"/>
        </w:rPr>
        <w:t>Ulegitimert tap</w:t>
      </w:r>
      <w:r w:rsidRPr="00AE1FD7">
        <w:rPr>
          <w:sz w:val="24"/>
          <w:szCs w:val="24"/>
        </w:rPr>
        <w:t xml:space="preserve"> (utgifter som ikke kan dokumenters, men sannsynliggjøres) </w:t>
      </w:r>
    </w:p>
    <w:p w14:paraId="6663B02A" w14:textId="77777777" w:rsidR="00AC2E37" w:rsidRPr="00AE1FD7" w:rsidRDefault="00AC2E37" w:rsidP="00AC2E37">
      <w:pPr>
        <w:pStyle w:val="Listeavsnitt"/>
        <w:numPr>
          <w:ilvl w:val="1"/>
          <w:numId w:val="5"/>
        </w:numPr>
        <w:ind w:left="1080"/>
      </w:pPr>
      <w:r w:rsidRPr="00AE1FD7">
        <w:rPr>
          <w:sz w:val="24"/>
          <w:szCs w:val="24"/>
        </w:rPr>
        <w:t xml:space="preserve">For møter inntil 4 timer settes tilsvarende </w:t>
      </w:r>
      <w:r w:rsidRPr="00AE1FD7">
        <w:rPr>
          <w:sz w:val="24"/>
          <w:szCs w:val="24"/>
          <w:shd w:val="clear" w:color="auto" w:fill="FFFFFF" w:themeFill="background1"/>
        </w:rPr>
        <w:t>0,05% av stortingsrepresentantenes</w:t>
      </w:r>
      <w:r w:rsidRPr="00AE1FD7">
        <w:rPr>
          <w:sz w:val="24"/>
          <w:szCs w:val="24"/>
        </w:rPr>
        <w:t xml:space="preserve"> årlige godtgjørelse </w:t>
      </w:r>
    </w:p>
    <w:p w14:paraId="196A34A5" w14:textId="77777777" w:rsidR="00AC2E37" w:rsidRPr="00AE1FD7" w:rsidRDefault="00AC2E37" w:rsidP="00AC2E37">
      <w:pPr>
        <w:pStyle w:val="Listeavsnitt"/>
        <w:numPr>
          <w:ilvl w:val="1"/>
          <w:numId w:val="5"/>
        </w:numPr>
        <w:ind w:left="1080"/>
      </w:pPr>
      <w:r w:rsidRPr="00AE1FD7">
        <w:rPr>
          <w:sz w:val="24"/>
          <w:szCs w:val="24"/>
        </w:rPr>
        <w:t xml:space="preserve">For møter over 4 timer settes tilsvarende </w:t>
      </w:r>
      <w:r w:rsidRPr="00AE1FD7">
        <w:rPr>
          <w:sz w:val="24"/>
          <w:szCs w:val="24"/>
          <w:shd w:val="clear" w:color="auto" w:fill="FFFFFF" w:themeFill="background1"/>
        </w:rPr>
        <w:t>0,1% av stortingsrepresentantenes</w:t>
      </w:r>
      <w:r w:rsidRPr="00AE1FD7">
        <w:rPr>
          <w:sz w:val="24"/>
          <w:szCs w:val="24"/>
        </w:rPr>
        <w:t xml:space="preserve"> årlige godtgjørelse </w:t>
      </w:r>
    </w:p>
    <w:p w14:paraId="1A725B4F" w14:textId="77777777" w:rsidR="00AC2E37" w:rsidRPr="00AE1FD7" w:rsidRDefault="00AC2E37" w:rsidP="00AC2E37">
      <w:pPr>
        <w:ind w:left="720"/>
      </w:pPr>
      <w:r w:rsidRPr="00AE1FD7">
        <w:rPr>
          <w:sz w:val="24"/>
          <w:szCs w:val="24"/>
        </w:rPr>
        <w:t>Dekning av ulegitimert tap utbetales kun for møter avholdt på dagtid.</w:t>
      </w:r>
    </w:p>
    <w:p w14:paraId="3025B679" w14:textId="77777777" w:rsidR="00AC2E37" w:rsidRDefault="00AC2E37" w:rsidP="00AC2E37">
      <w:pPr>
        <w:rPr>
          <w:sz w:val="24"/>
          <w:szCs w:val="24"/>
        </w:rPr>
      </w:pPr>
    </w:p>
    <w:p w14:paraId="31D61274" w14:textId="77777777" w:rsidR="00AC2E37" w:rsidRPr="00D04078" w:rsidRDefault="00AC2E37" w:rsidP="00AC2E37">
      <w:pPr>
        <w:rPr>
          <w:b/>
          <w:bCs/>
          <w:sz w:val="24"/>
          <w:szCs w:val="24"/>
        </w:rPr>
      </w:pPr>
      <w:r w:rsidRPr="00D04078">
        <w:rPr>
          <w:b/>
          <w:bCs/>
          <w:sz w:val="24"/>
          <w:szCs w:val="24"/>
        </w:rPr>
        <w:t xml:space="preserve">§ 5. Godtgjørelse ordfører </w:t>
      </w:r>
    </w:p>
    <w:p w14:paraId="7C8EC574" w14:textId="77777777" w:rsidR="00AC2E37" w:rsidRDefault="00AC2E37" w:rsidP="00AC2E37">
      <w:r w:rsidRPr="00D04078">
        <w:rPr>
          <w:sz w:val="24"/>
          <w:szCs w:val="24"/>
        </w:rPr>
        <w:t xml:space="preserve">Ordfører mottar </w:t>
      </w:r>
      <w:r w:rsidRPr="00D04078">
        <w:rPr>
          <w:sz w:val="24"/>
          <w:szCs w:val="24"/>
          <w:shd w:val="clear" w:color="auto" w:fill="FFFFFF" w:themeFill="background1"/>
        </w:rPr>
        <w:t xml:space="preserve">godtgjørelse tilsvarende 100% funksjon. </w:t>
      </w:r>
      <w:r w:rsidRPr="00D04078">
        <w:rPr>
          <w:sz w:val="24"/>
          <w:szCs w:val="24"/>
          <w:shd w:val="clear" w:color="auto" w:fill="FFFFFF" w:themeFill="background1"/>
        </w:rPr>
        <w:br/>
        <w:t>Godtgjørelse fastsettes til 80% av en stortingsrepresentants</w:t>
      </w:r>
      <w:r w:rsidRPr="00D04078">
        <w:rPr>
          <w:sz w:val="24"/>
          <w:szCs w:val="24"/>
        </w:rPr>
        <w:t xml:space="preserve"> årlige godtgjørelse. Satsen</w:t>
      </w:r>
      <w:r>
        <w:rPr>
          <w:sz w:val="24"/>
          <w:szCs w:val="24"/>
        </w:rPr>
        <w:t xml:space="preserve"> reguleres årlig i tråd med Stortingets reguleringer. Det betales ikke annen </w:t>
      </w:r>
      <w:r w:rsidRPr="00D04078">
        <w:rPr>
          <w:sz w:val="24"/>
          <w:szCs w:val="24"/>
        </w:rPr>
        <w:t>møtegodtgjørelse</w:t>
      </w:r>
      <w:r>
        <w:rPr>
          <w:sz w:val="24"/>
          <w:szCs w:val="24"/>
        </w:rPr>
        <w:t xml:space="preserve">. </w:t>
      </w:r>
    </w:p>
    <w:p w14:paraId="0C39E0C4" w14:textId="77777777" w:rsidR="00AC2E37" w:rsidRDefault="00AC2E37" w:rsidP="00AC2E37">
      <w:pPr>
        <w:rPr>
          <w:sz w:val="24"/>
          <w:szCs w:val="24"/>
        </w:rPr>
      </w:pPr>
      <w:r>
        <w:rPr>
          <w:sz w:val="24"/>
          <w:szCs w:val="24"/>
        </w:rPr>
        <w:t xml:space="preserve">Ordførers godtgjørelse dekker kontortid, representasjon og andre oppdrag i egenskap av ordfører. Utvalgsledelse i andre egne organer, møter i formannskapet, kommunestyret og andre kommunale/interkommunale styrer råd og organer der ordfører er oppnevnt som kommunens representant. </w:t>
      </w:r>
    </w:p>
    <w:p w14:paraId="237068CA" w14:textId="77777777" w:rsidR="00AC2E37" w:rsidRDefault="00AC2E37" w:rsidP="00AC2E37">
      <w:pPr>
        <w:rPr>
          <w:sz w:val="24"/>
          <w:szCs w:val="24"/>
        </w:rPr>
      </w:pPr>
      <w:r>
        <w:rPr>
          <w:sz w:val="24"/>
          <w:szCs w:val="24"/>
        </w:rPr>
        <w:t xml:space="preserve">Ordfører er tilknyttet kommunens pensjonsordning med trekk i godtgjørelsen i henhold til tjenestepensjonsordningens regler, jf. kommunelovens § 8-7. </w:t>
      </w:r>
    </w:p>
    <w:p w14:paraId="2A70DFF5" w14:textId="77777777" w:rsidR="00AC2E37" w:rsidRDefault="00AC2E37" w:rsidP="00AC2E37">
      <w:pPr>
        <w:rPr>
          <w:sz w:val="24"/>
          <w:szCs w:val="24"/>
        </w:rPr>
      </w:pPr>
      <w:r>
        <w:rPr>
          <w:sz w:val="24"/>
          <w:szCs w:val="24"/>
        </w:rPr>
        <w:t xml:space="preserve">Ordførers godtgjørelse gir ikke rett til feriepenger. </w:t>
      </w:r>
    </w:p>
    <w:p w14:paraId="474C73EC" w14:textId="77777777" w:rsidR="00AC2E37" w:rsidRDefault="00AC2E37" w:rsidP="00AC2E37">
      <w:pPr>
        <w:rPr>
          <w:sz w:val="24"/>
          <w:szCs w:val="24"/>
        </w:rPr>
      </w:pPr>
      <w:r>
        <w:rPr>
          <w:sz w:val="24"/>
          <w:szCs w:val="24"/>
        </w:rPr>
        <w:t xml:space="preserve">Ordførers ferie er satt til 5 uker. Det utbetales godtgjørelse i ferieperioden. Ordfører får utbetalt årlig godtgjørelse fordelt på 12 like utbetalinger gjennom året. </w:t>
      </w:r>
    </w:p>
    <w:p w14:paraId="5B080E3B" w14:textId="77777777" w:rsidR="00AC2E37" w:rsidRDefault="00AC2E37" w:rsidP="00AC2E37">
      <w:pPr>
        <w:rPr>
          <w:sz w:val="24"/>
          <w:szCs w:val="24"/>
        </w:rPr>
      </w:pPr>
      <w:r>
        <w:rPr>
          <w:sz w:val="24"/>
          <w:szCs w:val="24"/>
        </w:rPr>
        <w:t xml:space="preserve">Det kan dekkes utgifter i forbindelse med kjøp og drift av mobiltelefon og internett i tråd med kommunens regler for elektroniske kommunikasjonsmidler. Fordelen er skattepliktig. </w:t>
      </w:r>
    </w:p>
    <w:p w14:paraId="5F16E40B" w14:textId="77777777" w:rsidR="00AC2E37" w:rsidRDefault="00AC2E37" w:rsidP="00AC2E37">
      <w:pPr>
        <w:rPr>
          <w:sz w:val="24"/>
          <w:szCs w:val="24"/>
        </w:rPr>
      </w:pPr>
      <w:r>
        <w:rPr>
          <w:sz w:val="24"/>
          <w:szCs w:val="24"/>
        </w:rPr>
        <w:t xml:space="preserve">Ordfører dekkes også av kommunens ordning for ulykkesforsikring. </w:t>
      </w:r>
    </w:p>
    <w:p w14:paraId="0C376872" w14:textId="77777777" w:rsidR="00AC2E37" w:rsidRDefault="00AC2E37" w:rsidP="00AC2E37">
      <w:pPr>
        <w:rPr>
          <w:sz w:val="24"/>
          <w:szCs w:val="24"/>
        </w:rPr>
      </w:pPr>
    </w:p>
    <w:p w14:paraId="44AE86D9" w14:textId="77777777" w:rsidR="00AC2E37" w:rsidRDefault="00AC2E37" w:rsidP="00AC2E37">
      <w:pPr>
        <w:rPr>
          <w:sz w:val="24"/>
          <w:szCs w:val="24"/>
        </w:rPr>
      </w:pPr>
    </w:p>
    <w:p w14:paraId="76781DD4" w14:textId="77777777" w:rsidR="00AC2E37" w:rsidRDefault="00AC2E37" w:rsidP="00AC2E37">
      <w:pPr>
        <w:rPr>
          <w:sz w:val="24"/>
          <w:szCs w:val="24"/>
        </w:rPr>
      </w:pPr>
    </w:p>
    <w:p w14:paraId="791D368A" w14:textId="77777777" w:rsidR="00AC2E37" w:rsidRDefault="00AC2E37" w:rsidP="00AC2E37">
      <w:pPr>
        <w:rPr>
          <w:b/>
          <w:bCs/>
          <w:sz w:val="24"/>
          <w:szCs w:val="24"/>
        </w:rPr>
      </w:pPr>
      <w:r>
        <w:rPr>
          <w:b/>
          <w:bCs/>
          <w:sz w:val="24"/>
          <w:szCs w:val="24"/>
        </w:rPr>
        <w:t xml:space="preserve">§ 6. Godtgjørelse varaordfører </w:t>
      </w:r>
    </w:p>
    <w:p w14:paraId="70C234F4" w14:textId="77777777" w:rsidR="00AC2E37" w:rsidRDefault="00AC2E37" w:rsidP="00AC2E37">
      <w:r>
        <w:rPr>
          <w:sz w:val="24"/>
          <w:szCs w:val="24"/>
        </w:rPr>
        <w:t xml:space="preserve">Varaordførers godtgjørelse settes til </w:t>
      </w:r>
      <w:r w:rsidRPr="00D04078">
        <w:rPr>
          <w:sz w:val="24"/>
          <w:szCs w:val="24"/>
          <w:shd w:val="clear" w:color="auto" w:fill="FFFFFF" w:themeFill="background1"/>
        </w:rPr>
        <w:t>20% av stortingsrepresentantenes</w:t>
      </w:r>
      <w:r>
        <w:rPr>
          <w:sz w:val="24"/>
          <w:szCs w:val="24"/>
        </w:rPr>
        <w:t xml:space="preserve"> godtgjørelse. Godtgjørelsen dekker det arbeidet vervet medfører inkludert fungering som ordfører ved ferier og annet kortere fravær. Det betales ikke annen møtegodtgjørelse. </w:t>
      </w:r>
    </w:p>
    <w:p w14:paraId="65767956" w14:textId="77777777" w:rsidR="00AC2E37" w:rsidRDefault="00AC2E37" w:rsidP="00AC2E37">
      <w:pPr>
        <w:rPr>
          <w:sz w:val="24"/>
          <w:szCs w:val="24"/>
        </w:rPr>
      </w:pPr>
      <w:r>
        <w:rPr>
          <w:sz w:val="24"/>
          <w:szCs w:val="24"/>
        </w:rPr>
        <w:lastRenderedPageBreak/>
        <w:t xml:space="preserve">Dersom varaordfører fungerer sammenhengende ut over 14 dager som ordfører (unntatt ferie) skal det utbetales full godtgjørelse som ordfører. Det forventes da at vedkommende arbeids- og tidsmessig utfører alle ordføreroppgavene. </w:t>
      </w:r>
    </w:p>
    <w:p w14:paraId="0D19CC76" w14:textId="77777777" w:rsidR="00AC2E37" w:rsidRDefault="00AC2E37" w:rsidP="00AC2E37">
      <w:pPr>
        <w:jc w:val="center"/>
        <w:rPr>
          <w:sz w:val="24"/>
          <w:szCs w:val="24"/>
        </w:rPr>
      </w:pPr>
    </w:p>
    <w:p w14:paraId="31C573C7" w14:textId="77777777" w:rsidR="00AC2E37" w:rsidRDefault="00AC2E37" w:rsidP="00AC2E37">
      <w:r>
        <w:rPr>
          <w:b/>
          <w:bCs/>
          <w:sz w:val="24"/>
          <w:szCs w:val="24"/>
        </w:rPr>
        <w:t>§ 7. Godtgjørelse for utvalgsledere</w:t>
      </w:r>
      <w:r>
        <w:rPr>
          <w:sz w:val="24"/>
          <w:szCs w:val="24"/>
        </w:rPr>
        <w:t xml:space="preserve"> </w:t>
      </w:r>
    </w:p>
    <w:p w14:paraId="7EF779DF" w14:textId="77777777" w:rsidR="00AC2E37" w:rsidRDefault="00AC2E37" w:rsidP="00AC2E37">
      <w:pPr>
        <w:rPr>
          <w:sz w:val="24"/>
          <w:szCs w:val="24"/>
        </w:rPr>
      </w:pPr>
      <w:r>
        <w:rPr>
          <w:sz w:val="24"/>
          <w:szCs w:val="24"/>
        </w:rPr>
        <w:t xml:space="preserve">Ledere av politisk utvalg oppnevnt av kommunestyret gis en fast godtgjørelse slik: </w:t>
      </w:r>
    </w:p>
    <w:p w14:paraId="770B6562" w14:textId="77777777" w:rsidR="00AC2E37" w:rsidRDefault="00AC2E37" w:rsidP="00AC2E37">
      <w:pPr>
        <w:pStyle w:val="Listeavsnitt"/>
        <w:numPr>
          <w:ilvl w:val="0"/>
          <w:numId w:val="3"/>
        </w:numPr>
        <w:shd w:val="clear" w:color="auto" w:fill="FFFFFF" w:themeFill="background1"/>
      </w:pPr>
      <w:r w:rsidRPr="00AE1FD7">
        <w:rPr>
          <w:sz w:val="24"/>
          <w:szCs w:val="24"/>
        </w:rPr>
        <w:t xml:space="preserve">Kontrollutvalgets leder gis en fast godtgjørelse på kr. </w:t>
      </w:r>
      <w:r>
        <w:rPr>
          <w:sz w:val="24"/>
          <w:szCs w:val="24"/>
        </w:rPr>
        <w:t>3000</w:t>
      </w:r>
      <w:r w:rsidRPr="00AE1FD7">
        <w:rPr>
          <w:sz w:val="24"/>
          <w:szCs w:val="24"/>
        </w:rPr>
        <w:t xml:space="preserve">,- på år. </w:t>
      </w:r>
    </w:p>
    <w:p w14:paraId="0B3D46BB" w14:textId="77777777" w:rsidR="00AC2E37" w:rsidRDefault="00AC2E37" w:rsidP="00AC2E37">
      <w:pPr>
        <w:pStyle w:val="Listeavsnitt"/>
        <w:numPr>
          <w:ilvl w:val="0"/>
          <w:numId w:val="3"/>
        </w:numPr>
        <w:shd w:val="clear" w:color="auto" w:fill="FFFFFF" w:themeFill="background1"/>
      </w:pPr>
      <w:r w:rsidRPr="00AE1FD7">
        <w:rPr>
          <w:sz w:val="24"/>
          <w:szCs w:val="24"/>
        </w:rPr>
        <w:t>Øvrige ledere gis</w:t>
      </w:r>
      <w:r>
        <w:rPr>
          <w:sz w:val="24"/>
          <w:szCs w:val="24"/>
        </w:rPr>
        <w:t xml:space="preserve"> 50% av møtegodtgjørelse</w:t>
      </w:r>
      <w:r w:rsidRPr="00AE1FD7">
        <w:rPr>
          <w:sz w:val="24"/>
          <w:szCs w:val="24"/>
        </w:rPr>
        <w:t xml:space="preserve">. </w:t>
      </w:r>
    </w:p>
    <w:p w14:paraId="48CF3D97" w14:textId="77777777" w:rsidR="00AC2E37" w:rsidRDefault="00AC2E37" w:rsidP="00AC2E37">
      <w:pPr>
        <w:rPr>
          <w:sz w:val="24"/>
          <w:szCs w:val="24"/>
        </w:rPr>
      </w:pPr>
    </w:p>
    <w:p w14:paraId="517A9289" w14:textId="77777777" w:rsidR="00AC2E37" w:rsidRDefault="00AC2E37" w:rsidP="00AC2E37">
      <w:r>
        <w:rPr>
          <w:b/>
          <w:bCs/>
          <w:sz w:val="24"/>
          <w:szCs w:val="24"/>
        </w:rPr>
        <w:t>§ 8. Møtegodtgjørelse</w:t>
      </w:r>
      <w:r>
        <w:rPr>
          <w:sz w:val="24"/>
          <w:szCs w:val="24"/>
        </w:rPr>
        <w:t xml:space="preserve"> </w:t>
      </w:r>
    </w:p>
    <w:p w14:paraId="665472F3" w14:textId="77777777" w:rsidR="00AC2E37" w:rsidRDefault="00AC2E37" w:rsidP="00AC2E37">
      <w:pPr>
        <w:rPr>
          <w:sz w:val="24"/>
          <w:szCs w:val="24"/>
        </w:rPr>
      </w:pPr>
      <w:r>
        <w:rPr>
          <w:sz w:val="24"/>
          <w:szCs w:val="24"/>
        </w:rPr>
        <w:t xml:space="preserve">Møtende medlemmer og varamedlemmer av kommunestyret, formannskapet, utvalg, nemnder og lignende organ oppnevnt av kommunestyret tilstås godtgjøring for sitt arbeid slik: </w:t>
      </w:r>
    </w:p>
    <w:p w14:paraId="50CAC4AB" w14:textId="77777777" w:rsidR="00AC2E37" w:rsidRDefault="00AC2E37" w:rsidP="00AC2E37">
      <w:pPr>
        <w:pStyle w:val="Listeavsnitt"/>
        <w:numPr>
          <w:ilvl w:val="0"/>
          <w:numId w:val="3"/>
        </w:numPr>
      </w:pPr>
      <w:r w:rsidRPr="00AE1FD7">
        <w:rPr>
          <w:sz w:val="24"/>
          <w:szCs w:val="24"/>
        </w:rPr>
        <w:t xml:space="preserve">For møter inntil 4 timer settes tilsvarende </w:t>
      </w:r>
      <w:r w:rsidRPr="00AE1FD7">
        <w:rPr>
          <w:sz w:val="24"/>
          <w:szCs w:val="24"/>
          <w:shd w:val="clear" w:color="auto" w:fill="FFFFFF" w:themeFill="background1"/>
        </w:rPr>
        <w:t>0,05% av stortingsrepresentantenes</w:t>
      </w:r>
      <w:r w:rsidRPr="00AE1FD7">
        <w:rPr>
          <w:sz w:val="24"/>
          <w:szCs w:val="24"/>
        </w:rPr>
        <w:t xml:space="preserve"> årlige godtgjørelse </w:t>
      </w:r>
    </w:p>
    <w:p w14:paraId="0DE7BFA6" w14:textId="77777777" w:rsidR="00AC2E37" w:rsidRDefault="00AC2E37" w:rsidP="00AC2E37">
      <w:pPr>
        <w:pStyle w:val="Listeavsnitt"/>
        <w:numPr>
          <w:ilvl w:val="0"/>
          <w:numId w:val="3"/>
        </w:numPr>
      </w:pPr>
      <w:r w:rsidRPr="00AE1FD7">
        <w:rPr>
          <w:sz w:val="24"/>
          <w:szCs w:val="24"/>
        </w:rPr>
        <w:t xml:space="preserve">For møter over 4 timer settes tilsvarende </w:t>
      </w:r>
      <w:r w:rsidRPr="00AE1FD7">
        <w:rPr>
          <w:sz w:val="24"/>
          <w:szCs w:val="24"/>
          <w:shd w:val="clear" w:color="auto" w:fill="FFFFFF" w:themeFill="background1"/>
        </w:rPr>
        <w:t>0,1% av stortingsrepresentantenes</w:t>
      </w:r>
      <w:r w:rsidRPr="00AE1FD7">
        <w:rPr>
          <w:sz w:val="24"/>
          <w:szCs w:val="24"/>
        </w:rPr>
        <w:t xml:space="preserve"> årlige godtgjørelse </w:t>
      </w:r>
    </w:p>
    <w:p w14:paraId="0EAFE985" w14:textId="77777777" w:rsidR="00AC2E37" w:rsidRDefault="00AC2E37" w:rsidP="00AC2E37">
      <w:pPr>
        <w:rPr>
          <w:sz w:val="24"/>
          <w:szCs w:val="24"/>
        </w:rPr>
      </w:pPr>
      <w:r>
        <w:rPr>
          <w:sz w:val="24"/>
          <w:szCs w:val="24"/>
        </w:rPr>
        <w:t xml:space="preserve">Møtegodtgjørelsen inkluderer godtgjøring for møteforberedelse. Korte avklaringer som gjennomføres i form av telefonmøter eller ved epost-behandling, medfører ikke utbetaling som møtegodtgjørelse. </w:t>
      </w:r>
    </w:p>
    <w:p w14:paraId="0D9E5F39" w14:textId="77777777" w:rsidR="00AC2E37" w:rsidRDefault="00AC2E37" w:rsidP="00AC2E37">
      <w:pPr>
        <w:rPr>
          <w:sz w:val="24"/>
          <w:szCs w:val="24"/>
        </w:rPr>
      </w:pPr>
    </w:p>
    <w:p w14:paraId="0FB7C143" w14:textId="77777777" w:rsidR="00AC2E37" w:rsidRDefault="00AC2E37" w:rsidP="00AC2E37">
      <w:r>
        <w:rPr>
          <w:b/>
          <w:bCs/>
          <w:sz w:val="24"/>
          <w:szCs w:val="24"/>
        </w:rPr>
        <w:t>§ 9. Generelle godgjøringsbestemmelser</w:t>
      </w:r>
      <w:r>
        <w:rPr>
          <w:sz w:val="24"/>
          <w:szCs w:val="24"/>
        </w:rPr>
        <w:t xml:space="preserve"> </w:t>
      </w:r>
    </w:p>
    <w:p w14:paraId="177DD99F" w14:textId="77777777" w:rsidR="00AC2E37" w:rsidRDefault="00AC2E37" w:rsidP="00AC2E37">
      <w:pPr>
        <w:rPr>
          <w:sz w:val="24"/>
          <w:szCs w:val="24"/>
        </w:rPr>
      </w:pPr>
      <w:r>
        <w:rPr>
          <w:sz w:val="24"/>
          <w:szCs w:val="24"/>
        </w:rPr>
        <w:t xml:space="preserve">Følgende generelle bestemmelser om godtgjørelse gjelder: </w:t>
      </w:r>
    </w:p>
    <w:p w14:paraId="521257AB" w14:textId="77777777" w:rsidR="00AC2E37" w:rsidRDefault="00AC2E37" w:rsidP="00AC2E37">
      <w:pPr>
        <w:pStyle w:val="Listeavsnitt"/>
        <w:numPr>
          <w:ilvl w:val="0"/>
          <w:numId w:val="1"/>
        </w:numPr>
        <w:rPr>
          <w:sz w:val="24"/>
          <w:szCs w:val="24"/>
        </w:rPr>
      </w:pPr>
      <w:r>
        <w:rPr>
          <w:sz w:val="24"/>
          <w:szCs w:val="24"/>
        </w:rPr>
        <w:t>Ordfører/varaordfører, hovedutvalgsledere, lovbestemte medlemmer og tjenestemenn som har møteplikt og møterett i kommunale organer, tilstås ikke møtegodtgjørelse etter § 2-4.</w:t>
      </w:r>
    </w:p>
    <w:p w14:paraId="24BA09B9" w14:textId="77777777" w:rsidR="00AC2E37" w:rsidRDefault="00AC2E37" w:rsidP="00AC2E37">
      <w:pPr>
        <w:pStyle w:val="Listeavsnitt"/>
        <w:numPr>
          <w:ilvl w:val="0"/>
          <w:numId w:val="1"/>
        </w:numPr>
        <w:rPr>
          <w:sz w:val="24"/>
          <w:szCs w:val="24"/>
        </w:rPr>
      </w:pPr>
      <w:r>
        <w:rPr>
          <w:sz w:val="24"/>
          <w:szCs w:val="24"/>
        </w:rPr>
        <w:t xml:space="preserve">Kostgodtgjøring begrenset til satsene i statens reiseregulativ for reiser utenfor tjenestedistrikt. </w:t>
      </w:r>
    </w:p>
    <w:p w14:paraId="1013C671" w14:textId="77777777" w:rsidR="00AC2E37" w:rsidRDefault="00AC2E37" w:rsidP="00AC2E37">
      <w:pPr>
        <w:pStyle w:val="Listeavsnitt"/>
        <w:numPr>
          <w:ilvl w:val="0"/>
          <w:numId w:val="1"/>
        </w:numPr>
        <w:rPr>
          <w:sz w:val="24"/>
          <w:szCs w:val="24"/>
        </w:rPr>
      </w:pPr>
      <w:r>
        <w:rPr>
          <w:sz w:val="24"/>
          <w:szCs w:val="24"/>
        </w:rPr>
        <w:t xml:space="preserve">Folkevalgte kan få utgifter til telefon dekket etter regning. Ordfører har fri telefonbruk. </w:t>
      </w:r>
    </w:p>
    <w:p w14:paraId="61B0946C" w14:textId="77777777" w:rsidR="00AC2E37" w:rsidRDefault="00AC2E37" w:rsidP="00AC2E37">
      <w:pPr>
        <w:pStyle w:val="Listeavsnitt"/>
        <w:numPr>
          <w:ilvl w:val="0"/>
          <w:numId w:val="1"/>
        </w:numPr>
        <w:rPr>
          <w:sz w:val="24"/>
          <w:szCs w:val="24"/>
        </w:rPr>
      </w:pPr>
      <w:r>
        <w:rPr>
          <w:sz w:val="24"/>
          <w:szCs w:val="24"/>
        </w:rPr>
        <w:t>Ved påfølgende møter som overlapper hverandre, betales møtegodtgjøring bare for ett møte.</w:t>
      </w:r>
    </w:p>
    <w:p w14:paraId="4E3AD5FD" w14:textId="77777777" w:rsidR="00AC2E37" w:rsidRDefault="00AC2E37" w:rsidP="00AC2E37">
      <w:pPr>
        <w:pStyle w:val="Listeavsnitt"/>
        <w:numPr>
          <w:ilvl w:val="0"/>
          <w:numId w:val="1"/>
        </w:numPr>
        <w:rPr>
          <w:sz w:val="24"/>
          <w:szCs w:val="24"/>
        </w:rPr>
      </w:pPr>
      <w:r>
        <w:rPr>
          <w:sz w:val="24"/>
          <w:szCs w:val="24"/>
        </w:rPr>
        <w:t xml:space="preserve">Der medlem møter i deler av møtet, og varamann innkalles, deles den ordinære møtegodtgjørelsen mellom disse. </w:t>
      </w:r>
    </w:p>
    <w:p w14:paraId="4230342F" w14:textId="77777777" w:rsidR="00AC2E37" w:rsidRDefault="00AC2E37" w:rsidP="00AC2E37">
      <w:pPr>
        <w:pStyle w:val="Listeavsnitt"/>
        <w:numPr>
          <w:ilvl w:val="0"/>
          <w:numId w:val="1"/>
        </w:numPr>
        <w:rPr>
          <w:sz w:val="24"/>
          <w:szCs w:val="24"/>
        </w:rPr>
      </w:pPr>
      <w:r>
        <w:rPr>
          <w:sz w:val="24"/>
          <w:szCs w:val="24"/>
        </w:rPr>
        <w:t xml:space="preserve">Varamedlem som innkalles på grunn av fast medlems inhabilitet i enkeltsaker utbetales godtgjørelse med 1/3 av full godtgjørelse. </w:t>
      </w:r>
    </w:p>
    <w:p w14:paraId="4E4ED0C8" w14:textId="77777777" w:rsidR="00AC2E37" w:rsidRDefault="00AC2E37" w:rsidP="00AC2E37">
      <w:pPr>
        <w:pStyle w:val="Listeavsnitt"/>
        <w:rPr>
          <w:sz w:val="24"/>
          <w:szCs w:val="24"/>
        </w:rPr>
      </w:pPr>
    </w:p>
    <w:p w14:paraId="40AC5D1A" w14:textId="77777777" w:rsidR="00AC2E37" w:rsidRDefault="00AC2E37" w:rsidP="00AC2E37">
      <w:pPr>
        <w:pStyle w:val="Listeavsnitt"/>
        <w:numPr>
          <w:ilvl w:val="0"/>
          <w:numId w:val="1"/>
        </w:numPr>
        <w:rPr>
          <w:sz w:val="24"/>
          <w:szCs w:val="24"/>
        </w:rPr>
      </w:pPr>
      <w:r>
        <w:rPr>
          <w:sz w:val="24"/>
          <w:szCs w:val="24"/>
        </w:rPr>
        <w:t xml:space="preserve">Det utbetales ikke møtegodtgjørelse for deltagelse på kurs og konferanser. </w:t>
      </w:r>
    </w:p>
    <w:p w14:paraId="2F7C7D1F" w14:textId="77777777" w:rsidR="00AC2E37" w:rsidRDefault="00AC2E37" w:rsidP="00AC2E37">
      <w:pPr>
        <w:pStyle w:val="Listeavsnitt"/>
        <w:numPr>
          <w:ilvl w:val="0"/>
          <w:numId w:val="1"/>
        </w:numPr>
        <w:rPr>
          <w:sz w:val="24"/>
          <w:szCs w:val="24"/>
        </w:rPr>
      </w:pPr>
      <w:r>
        <w:rPr>
          <w:sz w:val="24"/>
          <w:szCs w:val="24"/>
        </w:rPr>
        <w:t xml:space="preserve">Arbeidstakere har rett til permisjon fra arbeid i det omfang det er nødvendig for å oppfylle lovbestemt møteplikt i offentlige organer jfr. Arbeidsmiljøloven § 12-13. I kommunal og statlig sektor er det 12 dagers fri med lønn pr kalenderår jfr. HTA § 14.1 </w:t>
      </w:r>
    </w:p>
    <w:p w14:paraId="55D8DD76" w14:textId="77777777" w:rsidR="00AC2E37" w:rsidRDefault="00AC2E37" w:rsidP="00AC2E37">
      <w:r>
        <w:rPr>
          <w:sz w:val="24"/>
          <w:szCs w:val="24"/>
        </w:rPr>
        <w:t xml:space="preserve">Regulering av godtgjørelse/møtegodtgjørelsen skjer fra og med </w:t>
      </w:r>
      <w:r w:rsidRPr="00D84FA0">
        <w:rPr>
          <w:sz w:val="24"/>
          <w:szCs w:val="24"/>
          <w:shd w:val="clear" w:color="auto" w:fill="FFFFFF" w:themeFill="background1"/>
        </w:rPr>
        <w:t>01.01 i det påfølgende år</w:t>
      </w:r>
      <w:r>
        <w:rPr>
          <w:sz w:val="24"/>
          <w:szCs w:val="24"/>
        </w:rPr>
        <w:t xml:space="preserve"> og skal gjelde alle. </w:t>
      </w:r>
    </w:p>
    <w:p w14:paraId="7BB4D17A" w14:textId="77777777" w:rsidR="00AC2E37" w:rsidRDefault="00AC2E37" w:rsidP="00AC2E37">
      <w:pPr>
        <w:rPr>
          <w:sz w:val="24"/>
          <w:szCs w:val="24"/>
        </w:rPr>
      </w:pPr>
    </w:p>
    <w:p w14:paraId="62D53ED0" w14:textId="77777777" w:rsidR="00AC2E37" w:rsidRDefault="00AC2E37" w:rsidP="00AC2E37">
      <w:r>
        <w:rPr>
          <w:b/>
          <w:bCs/>
          <w:sz w:val="24"/>
          <w:szCs w:val="24"/>
        </w:rPr>
        <w:t>§ 10. Ansvar og tidspunkt for utbetaling</w:t>
      </w:r>
      <w:r>
        <w:rPr>
          <w:sz w:val="24"/>
          <w:szCs w:val="24"/>
        </w:rPr>
        <w:t xml:space="preserve"> </w:t>
      </w:r>
    </w:p>
    <w:p w14:paraId="29D79764" w14:textId="77777777" w:rsidR="00AC2E37" w:rsidRDefault="00AC2E37" w:rsidP="00AC2E37">
      <w:pPr>
        <w:rPr>
          <w:sz w:val="24"/>
          <w:szCs w:val="24"/>
        </w:rPr>
      </w:pPr>
      <w:r>
        <w:rPr>
          <w:sz w:val="24"/>
          <w:szCs w:val="24"/>
        </w:rPr>
        <w:lastRenderedPageBreak/>
        <w:t xml:space="preserve">Administrasjonen sørger for at alle faste godtgjørelser og endringer som skjer i satsene blir lagt inn i lønnssystemet. Fast godtgjørelse til ordfører utbetales hver måned. Godtgjørelser for deltakelse på møter i organ nevnt i § 8 utbetales en gang pr. år (november/desember) basert på protokollert frammøte. Utvalgenes sekretær har ansvar for innrapportering av frammøte. Representantene må selv sørge for å fremme krav, med nødvendig dokumentasjon, om erstatning for tapt arbeidsfortjeneste, reisegodtgjørelse mv. Om ikke annet blir krevd, skjer utbetalingene hvert halvår etter innlevert krav fra representantene. </w:t>
      </w:r>
    </w:p>
    <w:p w14:paraId="4ED7AB66" w14:textId="77777777" w:rsidR="00AC2E37" w:rsidRDefault="00AC2E37" w:rsidP="00AC2E37">
      <w:pPr>
        <w:rPr>
          <w:sz w:val="24"/>
          <w:szCs w:val="24"/>
        </w:rPr>
      </w:pPr>
    </w:p>
    <w:p w14:paraId="42D73A40" w14:textId="77777777" w:rsidR="00AC2E37" w:rsidRDefault="00AC2E37" w:rsidP="00AC2E37">
      <w:r>
        <w:rPr>
          <w:b/>
          <w:bCs/>
          <w:sz w:val="24"/>
          <w:szCs w:val="24"/>
        </w:rPr>
        <w:t>§ 11. Ettergodtgjøring</w:t>
      </w:r>
      <w:r>
        <w:rPr>
          <w:sz w:val="24"/>
          <w:szCs w:val="24"/>
        </w:rPr>
        <w:t xml:space="preserve"> </w:t>
      </w:r>
    </w:p>
    <w:p w14:paraId="55E28D0E" w14:textId="77777777" w:rsidR="00AC2E37" w:rsidRDefault="00AC2E37" w:rsidP="00AC2E37">
      <w:pPr>
        <w:rPr>
          <w:sz w:val="24"/>
          <w:szCs w:val="24"/>
        </w:rPr>
      </w:pPr>
      <w:r>
        <w:rPr>
          <w:sz w:val="24"/>
          <w:szCs w:val="24"/>
        </w:rPr>
        <w:t xml:space="preserve">Folkevalgte som har et tillitsverv som sin hovedbeskjeftigelse, kan søke om ettergodtgjøring når de fratrer vervet jf. kommunelovens § 8-6. Det gis i inntil 1,5 måneder når de fratrer vervet og går tilbake til full jobb, og 3 måneder når de ikke har jobb å gå tilbake til. Søknad om ettergodtgjøring avgjøres av formannskapet. Retten til ettergodtgjøring avkortes krone for krone mot annen inntekt etter reglene i kommunelovens § 8-6 andre og tredje ledd. Pensjonsinntekter etter folketrygdloven kap. 19 og 20 skal ikke anses som inntekt. </w:t>
      </w:r>
    </w:p>
    <w:p w14:paraId="6F4A29D3" w14:textId="77777777" w:rsidR="00AC2E37" w:rsidRDefault="00AC2E37" w:rsidP="00AC2E37">
      <w:pPr>
        <w:rPr>
          <w:sz w:val="24"/>
          <w:szCs w:val="24"/>
        </w:rPr>
      </w:pPr>
    </w:p>
    <w:p w14:paraId="0B337865" w14:textId="77777777" w:rsidR="00AC2E37" w:rsidRDefault="00AC2E37" w:rsidP="00AC2E37">
      <w:r>
        <w:rPr>
          <w:b/>
          <w:bCs/>
          <w:sz w:val="24"/>
          <w:szCs w:val="24"/>
        </w:rPr>
        <w:t>§ 12. Pensjonsordning</w:t>
      </w:r>
      <w:r>
        <w:rPr>
          <w:sz w:val="24"/>
          <w:szCs w:val="24"/>
        </w:rPr>
        <w:t xml:space="preserve"> </w:t>
      </w:r>
    </w:p>
    <w:p w14:paraId="509E6E2B" w14:textId="77777777" w:rsidR="00AC2E37" w:rsidRDefault="00AC2E37" w:rsidP="00AC2E37">
      <w:pPr>
        <w:rPr>
          <w:sz w:val="24"/>
          <w:szCs w:val="24"/>
        </w:rPr>
      </w:pPr>
      <w:r>
        <w:rPr>
          <w:sz w:val="24"/>
          <w:szCs w:val="24"/>
        </w:rPr>
        <w:t xml:space="preserve">Kommunen tilrettelegger for pensjon til folkevalgte gjennom innmelding i kommunal pensjonsordning for folkevalgte for ordfører og varaordfører. Pensjonsordningen for folkevalgte gjelder for den tid de utfører vervet. </w:t>
      </w:r>
    </w:p>
    <w:p w14:paraId="68F5394A" w14:textId="77777777" w:rsidR="00AC2E37" w:rsidRDefault="00AC2E37" w:rsidP="00AC2E37">
      <w:pPr>
        <w:rPr>
          <w:sz w:val="24"/>
          <w:szCs w:val="24"/>
        </w:rPr>
      </w:pPr>
      <w:r>
        <w:rPr>
          <w:sz w:val="24"/>
          <w:szCs w:val="24"/>
        </w:rPr>
        <w:t>§ 13. Rett til sykepenger Folkevalgte som har vervet som sin hovedbeskjeftigelse, har samme rett til sykepenger som ansatte i kommunen jf. kommunelovens § 8-8. Kommunen skal betale sykepenger tilsvarende full godtgjøring i arbeidsgiverperioden fra den første til den sekstende sykedagen, jf. folketrygdloven § 8-19. Har den folkevalgte krav på godgjøring utover seks ganger grunnbeløpet, jf. folketrygdloven § 8-10 andre ledd, skal kommunen betale forskjellen mellom det den folkevalgte har krav på å få utbetalt i sykepenger fra folketrygden og det den folkevalgte ville fått i godtgjøring i den samme perioden.</w:t>
      </w:r>
    </w:p>
    <w:p w14:paraId="22A3CBA3" w14:textId="77777777" w:rsidR="00AC2E37" w:rsidRDefault="00AC2E37" w:rsidP="00AC2E37">
      <w:pPr>
        <w:rPr>
          <w:sz w:val="24"/>
          <w:szCs w:val="24"/>
        </w:rPr>
      </w:pPr>
    </w:p>
    <w:p w14:paraId="00C7FA72" w14:textId="77777777" w:rsidR="00AC2E37" w:rsidRDefault="00AC2E37" w:rsidP="00AC2E37">
      <w:r>
        <w:rPr>
          <w:b/>
          <w:bCs/>
          <w:sz w:val="24"/>
          <w:szCs w:val="24"/>
        </w:rPr>
        <w:t>§ 14. Rettigheter ved yrkesskade</w:t>
      </w:r>
      <w:r>
        <w:rPr>
          <w:sz w:val="24"/>
          <w:szCs w:val="24"/>
        </w:rPr>
        <w:t xml:space="preserve"> </w:t>
      </w:r>
    </w:p>
    <w:p w14:paraId="12DF8CCE" w14:textId="77777777" w:rsidR="00AC2E37" w:rsidRDefault="00AC2E37" w:rsidP="00AC2E37">
      <w:pPr>
        <w:rPr>
          <w:sz w:val="24"/>
          <w:szCs w:val="24"/>
        </w:rPr>
      </w:pPr>
      <w:r>
        <w:rPr>
          <w:sz w:val="24"/>
          <w:szCs w:val="24"/>
        </w:rPr>
        <w:t xml:space="preserve">Folkevalgte som har et tillitsverv som sin hovedbeskjeftigelse, skal meldes inn i kommunens yrkesskadeforsikring og eventuelle andre tilleggsforsikringer som gir samme rett som ansatte i kommunen til ytelser ved yrkesskade jf. kommunelovens § 8-9. </w:t>
      </w:r>
    </w:p>
    <w:p w14:paraId="252986D1" w14:textId="77777777" w:rsidR="00AC2E37" w:rsidRDefault="00AC2E37" w:rsidP="00AC2E37">
      <w:pPr>
        <w:rPr>
          <w:sz w:val="24"/>
          <w:szCs w:val="24"/>
        </w:rPr>
      </w:pPr>
    </w:p>
    <w:p w14:paraId="4525C5F2" w14:textId="77777777" w:rsidR="00AC2E37" w:rsidRDefault="00AC2E37" w:rsidP="00AC2E37">
      <w:r>
        <w:rPr>
          <w:b/>
          <w:bCs/>
          <w:sz w:val="24"/>
          <w:szCs w:val="24"/>
        </w:rPr>
        <w:t>§ 15. Permisjoner</w:t>
      </w:r>
      <w:r>
        <w:rPr>
          <w:sz w:val="24"/>
          <w:szCs w:val="24"/>
        </w:rPr>
        <w:t xml:space="preserve"> </w:t>
      </w:r>
    </w:p>
    <w:p w14:paraId="5527B815" w14:textId="77777777" w:rsidR="00AC2E37" w:rsidRDefault="00AC2E37" w:rsidP="00AC2E37">
      <w:pPr>
        <w:rPr>
          <w:sz w:val="24"/>
          <w:szCs w:val="24"/>
        </w:rPr>
      </w:pPr>
      <w:r>
        <w:rPr>
          <w:sz w:val="24"/>
          <w:szCs w:val="24"/>
        </w:rPr>
        <w:t xml:space="preserve">Folkevalgte som har et tillitsverv som sin hovedbeskjeftigelse, har etter søknad rett til permisjon i samsvar med arbeidsmiljøloven § 12-1 til § 12-10, § 12-12 og § 12-15. Søknad om permisjon avgjøres av formannskapet. Under permisjonen beholder de folkevalgte godtgjøringen i inntil to uker, med mindre de gir avkall på den. Under svangerskapspermisjon, omsorgspermisjon, fødselspermisjon, foreldrepermisjon og permisjon ved barns og barnepassers sykdom skal kommunen sørge for at de folkevalgte får rett til å beholde godtgjøringen etter de samme reglene som gjelder for ansatte i kommunen. </w:t>
      </w:r>
    </w:p>
    <w:p w14:paraId="6FCDD3A5" w14:textId="77777777" w:rsidR="00AC2E37" w:rsidRDefault="00AC2E37" w:rsidP="00AC2E37">
      <w:pPr>
        <w:rPr>
          <w:sz w:val="24"/>
          <w:szCs w:val="24"/>
        </w:rPr>
      </w:pPr>
    </w:p>
    <w:p w14:paraId="463D4EDC" w14:textId="77777777" w:rsidR="00AC2E37" w:rsidRDefault="00AC2E37" w:rsidP="00AC2E37">
      <w:r>
        <w:rPr>
          <w:b/>
          <w:bCs/>
          <w:sz w:val="24"/>
          <w:szCs w:val="24"/>
        </w:rPr>
        <w:t>§ 16. Tvil og tolkninger</w:t>
      </w:r>
    </w:p>
    <w:p w14:paraId="390739BF" w14:textId="77777777" w:rsidR="00AC2E37" w:rsidRDefault="00AC2E37" w:rsidP="00AC2E37">
      <w:pPr>
        <w:rPr>
          <w:sz w:val="24"/>
          <w:szCs w:val="24"/>
        </w:rPr>
      </w:pPr>
      <w:r>
        <w:rPr>
          <w:sz w:val="24"/>
          <w:szCs w:val="24"/>
        </w:rPr>
        <w:t xml:space="preserve">Formannskapet har fullmakt til å avgjøre tolkningsspørsmål i tilknytning til forskriften. </w:t>
      </w:r>
    </w:p>
    <w:p w14:paraId="653F1679" w14:textId="77777777" w:rsidR="00AC2E37" w:rsidRDefault="00AC2E37" w:rsidP="00AC2E37">
      <w:pPr>
        <w:rPr>
          <w:sz w:val="24"/>
          <w:szCs w:val="24"/>
        </w:rPr>
      </w:pPr>
    </w:p>
    <w:p w14:paraId="404E01BD" w14:textId="77777777" w:rsidR="00AC2E37" w:rsidRDefault="00AC2E37" w:rsidP="00AC2E37">
      <w:pPr>
        <w:rPr>
          <w:b/>
          <w:bCs/>
          <w:sz w:val="24"/>
          <w:szCs w:val="24"/>
        </w:rPr>
      </w:pPr>
      <w:r>
        <w:rPr>
          <w:b/>
          <w:bCs/>
          <w:sz w:val="24"/>
          <w:szCs w:val="24"/>
        </w:rPr>
        <w:t xml:space="preserve">§ 17. Revisjon </w:t>
      </w:r>
    </w:p>
    <w:p w14:paraId="0BA58B14" w14:textId="77777777" w:rsidR="00AC2E37" w:rsidRDefault="00AC2E37" w:rsidP="00AC2E37">
      <w:pPr>
        <w:rPr>
          <w:sz w:val="24"/>
          <w:szCs w:val="24"/>
        </w:rPr>
      </w:pPr>
      <w:r>
        <w:rPr>
          <w:sz w:val="24"/>
          <w:szCs w:val="24"/>
        </w:rPr>
        <w:lastRenderedPageBreak/>
        <w:t xml:space="preserve">Reglementet revideres i begynnelsen av hver valgperiode. </w:t>
      </w:r>
    </w:p>
    <w:p w14:paraId="68D52274" w14:textId="77777777" w:rsidR="00AC2E37" w:rsidRDefault="00AC2E37" w:rsidP="00AC2E37">
      <w:pPr>
        <w:rPr>
          <w:sz w:val="24"/>
          <w:szCs w:val="24"/>
        </w:rPr>
      </w:pPr>
    </w:p>
    <w:p w14:paraId="5397B214" w14:textId="77777777" w:rsidR="00AC2E37" w:rsidRDefault="00AC2E37" w:rsidP="00AC2E37">
      <w:r>
        <w:rPr>
          <w:b/>
          <w:bCs/>
          <w:sz w:val="24"/>
          <w:szCs w:val="24"/>
        </w:rPr>
        <w:t>§ 18. Ikrafttredelse</w:t>
      </w:r>
      <w:r>
        <w:rPr>
          <w:sz w:val="24"/>
          <w:szCs w:val="24"/>
        </w:rPr>
        <w:t xml:space="preserve"> </w:t>
      </w:r>
    </w:p>
    <w:p w14:paraId="7D977F5B" w14:textId="77777777" w:rsidR="00AC2E37" w:rsidRDefault="00AC2E37" w:rsidP="00AC2E37">
      <w:r>
        <w:rPr>
          <w:sz w:val="24"/>
          <w:szCs w:val="24"/>
        </w:rPr>
        <w:t xml:space="preserve">Forskriften gis virkning fra </w:t>
      </w:r>
      <w:r>
        <w:rPr>
          <w:sz w:val="24"/>
          <w:szCs w:val="24"/>
          <w:shd w:val="clear" w:color="auto" w:fill="FFFF00"/>
        </w:rPr>
        <w:t>__________.</w:t>
      </w:r>
      <w:r>
        <w:rPr>
          <w:sz w:val="24"/>
          <w:szCs w:val="24"/>
        </w:rPr>
        <w:t xml:space="preserve"> Godtgjørelsen størrelse fastsettes i de årlige budsjetter.</w:t>
      </w:r>
    </w:p>
    <w:p w14:paraId="3356622A" w14:textId="77777777" w:rsidR="00742DAD" w:rsidRDefault="00742DAD"/>
    <w:sectPr w:rsidR="00742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041"/>
    <w:multiLevelType w:val="multilevel"/>
    <w:tmpl w:val="EEF49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F67BB8"/>
    <w:multiLevelType w:val="hybridMultilevel"/>
    <w:tmpl w:val="D220D2FE"/>
    <w:lvl w:ilvl="0" w:tplc="711A7512">
      <w:numFmt w:val="bullet"/>
      <w:lvlText w:val=""/>
      <w:lvlJc w:val="left"/>
      <w:pPr>
        <w:ind w:left="720" w:hanging="360"/>
      </w:pPr>
      <w:rPr>
        <w:rFonts w:ascii="Symbol" w:eastAsia="Symbol" w:hAnsi="Symbol" w:cs="Symbol"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9757D01"/>
    <w:multiLevelType w:val="hybridMultilevel"/>
    <w:tmpl w:val="78C6DF86"/>
    <w:lvl w:ilvl="0" w:tplc="711A7512">
      <w:numFmt w:val="bullet"/>
      <w:lvlText w:val=""/>
      <w:lvlJc w:val="left"/>
      <w:pPr>
        <w:ind w:left="720" w:hanging="360"/>
      </w:pPr>
      <w:rPr>
        <w:rFonts w:ascii="Symbol" w:eastAsia="Symbol" w:hAnsi="Symbol" w:cs="Symbol" w:hint="default"/>
        <w:sz w:val="24"/>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CF316B"/>
    <w:multiLevelType w:val="hybridMultilevel"/>
    <w:tmpl w:val="31A6F6EC"/>
    <w:lvl w:ilvl="0" w:tplc="711A7512">
      <w:numFmt w:val="bullet"/>
      <w:lvlText w:val=""/>
      <w:lvlJc w:val="left"/>
      <w:pPr>
        <w:ind w:left="720" w:hanging="360"/>
      </w:pPr>
      <w:rPr>
        <w:rFonts w:ascii="Symbol" w:eastAsia="Symbol" w:hAnsi="Symbol" w:cs="Symbol" w:hint="default"/>
        <w:sz w:val="24"/>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7E31572"/>
    <w:multiLevelType w:val="hybridMultilevel"/>
    <w:tmpl w:val="E2BC077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39334649">
    <w:abstractNumId w:val="0"/>
  </w:num>
  <w:num w:numId="2" w16cid:durableId="1458064443">
    <w:abstractNumId w:val="4"/>
  </w:num>
  <w:num w:numId="3" w16cid:durableId="977805597">
    <w:abstractNumId w:val="1"/>
  </w:num>
  <w:num w:numId="4" w16cid:durableId="541284400">
    <w:abstractNumId w:val="2"/>
  </w:num>
  <w:num w:numId="5" w16cid:durableId="1869295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37"/>
    <w:rsid w:val="00742DAD"/>
    <w:rsid w:val="00AC2E37"/>
    <w:rsid w:val="00D30D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530C"/>
  <w15:chartTrackingRefBased/>
  <w15:docId w15:val="{4A6F8CA7-3D2A-43B9-8045-E42787B4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37"/>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C2E37"/>
    <w:rPr>
      <w:color w:val="0563C1" w:themeColor="hyperlink"/>
      <w:u w:val="single"/>
    </w:rPr>
  </w:style>
  <w:style w:type="paragraph" w:styleId="Listeavsnitt">
    <w:name w:val="List Paragraph"/>
    <w:basedOn w:val="Normal"/>
    <w:rsid w:val="00AC2E37"/>
    <w:pPr>
      <w:suppressAutoHyphens/>
      <w:autoSpaceDN w:val="0"/>
      <w:spacing w:after="160" w:line="247" w:lineRule="auto"/>
      <w:ind w:left="720"/>
      <w:contextualSpacing/>
    </w:pPr>
    <w:rPr>
      <w:rFonts w:ascii="Calibri" w:eastAsia="Calibri" w:hAnsi="Calibri" w:cs="Times New Roman"/>
      <w:kern w:val="3"/>
    </w:rPr>
  </w:style>
  <w:style w:type="character" w:styleId="Ulstomtale">
    <w:name w:val="Unresolved Mention"/>
    <w:basedOn w:val="Standardskriftforavsnitt"/>
    <w:uiPriority w:val="99"/>
    <w:semiHidden/>
    <w:unhideWhenUsed/>
    <w:rsid w:val="00AC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mottak@flakstad.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8878</Characters>
  <Application>Microsoft Office Word</Application>
  <DocSecurity>0</DocSecurity>
  <Lines>73</Lines>
  <Paragraphs>21</Paragraphs>
  <ScaleCrop>false</ScaleCrop>
  <Company>Vågan kommune</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Ringvej</dc:creator>
  <cp:keywords/>
  <dc:description/>
  <cp:lastModifiedBy>Tone Knutsen</cp:lastModifiedBy>
  <cp:revision>2</cp:revision>
  <dcterms:created xsi:type="dcterms:W3CDTF">2023-11-20T14:09:00Z</dcterms:created>
  <dcterms:modified xsi:type="dcterms:W3CDTF">2023-11-20T14:09:00Z</dcterms:modified>
</cp:coreProperties>
</file>