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9E" w:rsidRDefault="00221C4F" w:rsidP="00EB589E">
      <w:pPr>
        <w:spacing w:after="0" w:line="285" w:lineRule="atLeast"/>
        <w:outlineLvl w:val="0"/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</w:pPr>
      <w:r>
        <w:rPr>
          <w:rFonts w:ascii="Calibri" w:eastAsia="Times New Roman" w:hAnsi="Calibri" w:cs="Arial"/>
          <w:noProof/>
          <w:color w:val="000000"/>
          <w:kern w:val="36"/>
          <w:sz w:val="39"/>
          <w:szCs w:val="39"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85pt;margin-top:.35pt;width:89.4pt;height:84.6pt;z-index:251658240">
            <v:imagedata r:id="rId5" o:title=""/>
            <w10:wrap type="topAndBottom"/>
          </v:shape>
          <o:OLEObject Type="Embed" ProgID="PBrush" ShapeID="_x0000_s1026" DrawAspect="Content" ObjectID="_1516529113" r:id="rId6"/>
        </w:object>
      </w:r>
    </w:p>
    <w:p w:rsidR="00EB589E" w:rsidRDefault="00EB589E" w:rsidP="00EB589E">
      <w:pPr>
        <w:spacing w:after="0" w:line="285" w:lineRule="atLeast"/>
        <w:outlineLvl w:val="0"/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</w:pPr>
      <w:r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  <w:t>FLAKSTAD KOMMUNE</w:t>
      </w:r>
    </w:p>
    <w:p w:rsidR="00EB589E" w:rsidRDefault="00EB589E" w:rsidP="00EB589E">
      <w:pPr>
        <w:spacing w:after="0" w:line="285" w:lineRule="atLeast"/>
        <w:outlineLvl w:val="0"/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</w:pPr>
    </w:p>
    <w:p w:rsidR="00EB589E" w:rsidRDefault="00EB589E" w:rsidP="00EB589E">
      <w:pPr>
        <w:spacing w:after="0" w:line="285" w:lineRule="atLeast"/>
        <w:outlineLvl w:val="0"/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</w:pPr>
    </w:p>
    <w:p w:rsidR="00EB589E" w:rsidRPr="00EB589E" w:rsidRDefault="00EB589E" w:rsidP="00EB589E">
      <w:pPr>
        <w:spacing w:after="0" w:line="285" w:lineRule="atLeast"/>
        <w:outlineLvl w:val="0"/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</w:pPr>
      <w:r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  <w:t>Kriterier for o</w:t>
      </w:r>
      <w:r w:rsidRPr="00EB589E">
        <w:rPr>
          <w:rFonts w:ascii="Calibri" w:eastAsia="Times New Roman" w:hAnsi="Calibri" w:cs="Arial"/>
          <w:color w:val="000000"/>
          <w:kern w:val="36"/>
          <w:sz w:val="39"/>
          <w:szCs w:val="39"/>
          <w:lang w:eastAsia="nb-NO"/>
        </w:rPr>
        <w:t>msorgslønn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b/>
          <w:bCs/>
          <w:color w:val="2F3437"/>
          <w:sz w:val="20"/>
          <w:szCs w:val="20"/>
          <w:lang w:eastAsia="nb-NO"/>
        </w:rPr>
        <w:t>Overordnet mål</w:t>
      </w: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br/>
        <w:t>Formålet med ordningen er å bidra til best mulig omsorg til de som trenger hjelp i dagliglivet og gjøre det mulig for private omsorgsytere å fortsette med omsorgsarbeidet. Omsorgslønn og avlastning er ordninger som skal legge til rette for privat omsorgsarbeid fra pårørende og andre når dette blir regnet som det beste for brukeren.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b/>
          <w:bCs/>
          <w:color w:val="2F3437"/>
          <w:sz w:val="20"/>
          <w:szCs w:val="20"/>
          <w:lang w:eastAsia="nb-NO"/>
        </w:rPr>
        <w:t>Servicemål</w:t>
      </w:r>
    </w:p>
    <w:p w:rsidR="00EB589E" w:rsidRPr="00EB589E" w:rsidRDefault="00EB589E" w:rsidP="00EB589E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Avtale om besøk for vurdering av hjelpebehov gjøres innen tre uker etter mottatt søknad</w:t>
      </w:r>
    </w:p>
    <w:p w:rsidR="00EB589E" w:rsidRPr="00EB589E" w:rsidRDefault="00EB589E" w:rsidP="00EB589E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Vi tildeler tjenester etter ditt individuelle behov. Behovet for tjenester blir fortløpende vurdert i samråd med deg, eventuelt hjelpeverge og/eller pårørende.</w:t>
      </w:r>
    </w:p>
    <w:p w:rsidR="00EB589E" w:rsidRPr="00EB589E" w:rsidRDefault="00EB589E" w:rsidP="00EB589E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Vi yter tjenester slik det framkommer i vedtaket</w:t>
      </w:r>
    </w:p>
    <w:p w:rsidR="00EB589E" w:rsidRPr="0000767A" w:rsidRDefault="00EB589E" w:rsidP="00EB589E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Tilbudet evalueres årlig.</w:t>
      </w:r>
    </w:p>
    <w:p w:rsidR="00B46599" w:rsidRPr="00B46599" w:rsidRDefault="00B46599" w:rsidP="00B46599">
      <w:pPr>
        <w:pBdr>
          <w:bottom w:val="single" w:sz="6" w:space="5" w:color="D5D5D5"/>
        </w:pBdr>
        <w:spacing w:before="315" w:after="330" w:line="240" w:lineRule="auto"/>
        <w:outlineLvl w:val="1"/>
        <w:rPr>
          <w:rFonts w:ascii="Arial" w:eastAsia="Times New Roman" w:hAnsi="Arial" w:cs="Arial"/>
          <w:b/>
          <w:bCs/>
          <w:color w:val="4D4D4D"/>
          <w:spacing w:val="-8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b/>
          <w:bCs/>
          <w:color w:val="4D4D4D"/>
          <w:spacing w:val="-8"/>
          <w:sz w:val="20"/>
          <w:szCs w:val="20"/>
          <w:lang w:eastAsia="nb-NO"/>
        </w:rPr>
        <w:t>Krav til søker</w:t>
      </w:r>
    </w:p>
    <w:p w:rsidR="00B46599" w:rsidRPr="00B46599" w:rsidRDefault="00B46599" w:rsidP="00B46599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den pleietrengende må bo hjemme</w:t>
      </w:r>
    </w:p>
    <w:p w:rsidR="00B46599" w:rsidRPr="00B46599" w:rsidRDefault="00B46599" w:rsidP="00B46599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omsorgsarbeidet må vurderes som særlig tyngende og gjelde nødvendige oppgaver.</w:t>
      </w:r>
    </w:p>
    <w:p w:rsidR="00B46599" w:rsidRPr="0000767A" w:rsidRDefault="00B46599" w:rsidP="00B46599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 xml:space="preserve">både bruker og </w:t>
      </w:r>
      <w:r w:rsidR="0000767A" w:rsidRPr="0000767A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kommune</w:t>
      </w: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 xml:space="preserve"> må vurdere om omsorgslønn er det beste alternativet, eventuelt sammen med andre hjelpetiltak.</w:t>
      </w:r>
    </w:p>
    <w:p w:rsidR="0000767A" w:rsidRPr="0000767A" w:rsidRDefault="0000767A" w:rsidP="0000767A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00767A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I vurderingen av særlig tyngende har sosialdepartementet listet opp følgende momenter: - omsorgsoppgavens karakter, spesielt belastende følelsesmessig og /eller fysisk - forventet varighet av omsorgsbehov og situasjon - kontinuitet i omsorgsbehovet/omsorgsbelastningen - omfang av tid som medgår og fordelingen av denne over døgn/uke - sosial isolasjon - hvorvidt omsorgsoppgavene tiltar eller avtar i omfang over tid.</w:t>
      </w:r>
    </w:p>
    <w:p w:rsidR="0000767A" w:rsidRPr="00B46599" w:rsidRDefault="0000767A" w:rsidP="0000767A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00767A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Barn under 18 år har rett til pleie, stell og omsorg fra sine foreldre. Dette gjelder uavhengig av om barnet er funksjonshemmet eller ikke.</w:t>
      </w:r>
    </w:p>
    <w:p w:rsidR="00B46599" w:rsidRPr="00B46599" w:rsidRDefault="00B46599" w:rsidP="00B46599">
      <w:pPr>
        <w:spacing w:after="158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Hvis du ikke har søkt om </w:t>
      </w:r>
      <w:hyperlink r:id="rId7" w:history="1">
        <w:r w:rsidRPr="0014666C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nb-NO"/>
          </w:rPr>
          <w:t>Hjelpestønad fra NAV</w:t>
        </w:r>
      </w:hyperlink>
      <w:r w:rsidRPr="0014666C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må du søke om dette samtidig.</w:t>
      </w:r>
    </w:p>
    <w:p w:rsidR="0000767A" w:rsidRPr="0000767A" w:rsidRDefault="0000767A" w:rsidP="00B46599">
      <w:pPr>
        <w:spacing w:after="158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</w:p>
    <w:p w:rsidR="00B46599" w:rsidRPr="00B46599" w:rsidRDefault="00B46599" w:rsidP="00B46599">
      <w:pPr>
        <w:spacing w:after="158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 </w:t>
      </w:r>
    </w:p>
    <w:p w:rsidR="00B46599" w:rsidRPr="00B46599" w:rsidRDefault="00B46599" w:rsidP="00B46599">
      <w:pPr>
        <w:spacing w:after="158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lastRenderedPageBreak/>
        <w:t>Tenk over dette før du søker:</w:t>
      </w:r>
    </w:p>
    <w:p w:rsidR="00B46599" w:rsidRPr="00B46599" w:rsidRDefault="00B46599" w:rsidP="00B46599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Arbeider du mange timer per måned med omsorgsarbeidet?</w:t>
      </w:r>
    </w:p>
    <w:p w:rsidR="00B46599" w:rsidRPr="00B46599" w:rsidRDefault="00B46599" w:rsidP="00B46599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Er arbeidet mer fysisk eller psykisk belastende enn vanlig?</w:t>
      </w:r>
    </w:p>
    <w:p w:rsidR="00B46599" w:rsidRPr="00B46599" w:rsidRDefault="00B46599" w:rsidP="00B46599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Innebærer omsorgsarbeidet mye nattarbeid eller avbrudd i nattesøvn?</w:t>
      </w:r>
    </w:p>
    <w:p w:rsidR="00B46599" w:rsidRPr="00B46599" w:rsidRDefault="00B46599" w:rsidP="00B46599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Er det behov for omsorgsarbeid i perioder eller hele tiden?</w:t>
      </w:r>
    </w:p>
    <w:p w:rsidR="00B46599" w:rsidRPr="00B46599" w:rsidRDefault="00B46599" w:rsidP="00B46599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Fører omsorgsarbeidet til sosial isolasjon og mangel på ferie og fritid?</w:t>
      </w:r>
    </w:p>
    <w:p w:rsidR="00B46599" w:rsidRPr="00EB589E" w:rsidRDefault="00B46599" w:rsidP="0000767A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4D4D4D"/>
          <w:sz w:val="20"/>
          <w:szCs w:val="20"/>
          <w:lang w:eastAsia="nb-NO"/>
        </w:rPr>
      </w:pPr>
      <w:r w:rsidRPr="00B46599">
        <w:rPr>
          <w:rFonts w:ascii="Arial" w:eastAsia="Times New Roman" w:hAnsi="Arial" w:cs="Arial"/>
          <w:color w:val="4D4D4D"/>
          <w:sz w:val="20"/>
          <w:szCs w:val="20"/>
          <w:lang w:eastAsia="nb-NO"/>
        </w:rPr>
        <w:t>Er det snakk om omsorg for mer enn én person?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b/>
          <w:bCs/>
          <w:color w:val="2F3437"/>
          <w:sz w:val="20"/>
          <w:szCs w:val="20"/>
          <w:lang w:eastAsia="nb-NO"/>
        </w:rPr>
        <w:t>Utmåling av omsorgslønn</w:t>
      </w: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br/>
        <w:t>Omsorgslønn er en ytelse kommunen plikter å ha, men søker har ikke et ubetinget krav på denne ytelsen. Hvorvidt omsorgslønn skal ytes vil bero på en skjønnsmessig vurdering der flere momenter er relevante.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Kommunen har plikt til å sørge for at den omsorgstrengendes samlede hjelpebehov blir dekket, men det er kommunen som i utgangspunktet velger hjelpeformen. Kommunen kan tilby annen hjelp som dekker omsorgsbehovet, når dette anses som det beste for den omsorgstrengende eller innebærer en bedre utnyttelse av kommunens ressurser.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Andre aktuelle hjelpeordninger/tiltak som det offentlige kan tilby i stedet for eller i tillegg til omsorgslønn kan være: hjemmetjenester, avlasting, støttekontakt, dagtilbud som dagsenter, plass i barnehage/ skolefritidsordning og hjelpestønad til tilsyn og pleie.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Størrelsen beregnes ut fra omsorgsbelastning der andre offentlige tiltak går til fradrag. Omsorgslønn stoppes under opphør av omsorgsarbeidet som ved innleggelse i sykehus, avlastningsopphold, kortidsopphold i sykehjem etc. Omsorgslønnsmottaker er pliktig til å informere kommunen om slike forhold og melde ifra dersom hjelpebehovet endres. Til utregning av omsorgslønn benyttes eget vurderingsskjem.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b/>
          <w:bCs/>
          <w:color w:val="2F3437"/>
          <w:sz w:val="20"/>
          <w:szCs w:val="20"/>
          <w:lang w:eastAsia="nb-NO"/>
        </w:rPr>
        <w:t>Avtale om omsorgslønn</w:t>
      </w: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br/>
        <w:t>Vedtak om omsorgslønn er enkeltvedtak og ledsages av en skriftlig oppdragskontrakt mellom omsorgsyter og kommunen. I oppdragskontrakt framgår forhold som omhandler avlønning, feriepenger og sykepenger.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Det skal ikke inngås avtale om omsorgslønn med tilbakevirkende kraft, - dvs. for arbeid omsorgsgivere har gjort før det fremsettes søknad om omsorgslønn.</w:t>
      </w:r>
    </w:p>
    <w:p w:rsidR="00EB589E" w:rsidRPr="00EB589E" w:rsidRDefault="00EB589E" w:rsidP="00EB589E">
      <w:pPr>
        <w:spacing w:before="60" w:after="24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b/>
          <w:bCs/>
          <w:color w:val="2F3437"/>
          <w:sz w:val="20"/>
          <w:szCs w:val="20"/>
          <w:lang w:eastAsia="nb-NO"/>
        </w:rPr>
        <w:t>Saksbehandling</w:t>
      </w:r>
    </w:p>
    <w:p w:rsidR="00EB589E" w:rsidRPr="00EB589E" w:rsidRDefault="00EB589E" w:rsidP="00EB589E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 xml:space="preserve">Skriftlig søknad sendes </w:t>
      </w:r>
      <w:r w:rsidRPr="0000767A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Koordinerende enhet i Flakstad kommune</w:t>
      </w:r>
    </w:p>
    <w:p w:rsidR="00EB589E" w:rsidRPr="00EB589E" w:rsidRDefault="00EB589E" w:rsidP="00EB589E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Søker vil få opplysning, råd og veiledning</w:t>
      </w:r>
    </w:p>
    <w:p w:rsidR="00EB589E" w:rsidRPr="00EB589E" w:rsidRDefault="00EB589E" w:rsidP="00EB589E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Hjelpebehovet må dokumenteres med for eksempel legeerklæring</w:t>
      </w:r>
    </w:p>
    <w:p w:rsidR="00EB589E" w:rsidRPr="00EB589E" w:rsidRDefault="00EB589E" w:rsidP="00EB589E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Vedtak fattes etter en helhetlig behovsvurdering og i hht. enhver tid gjeldende lover, forskrifter og kommunale retningslinjer</w:t>
      </w:r>
    </w:p>
    <w:p w:rsidR="00EB589E" w:rsidRPr="00EB589E" w:rsidRDefault="00EB589E" w:rsidP="00EB589E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Vedtak om omsorgslønn skal tidsavgrenses og gis vanligvis ikke utover 1 år. Vedtak og avtale skal inneholde bestemmelser om oppsigelse pga endrede forhold</w:t>
      </w:r>
    </w:p>
    <w:p w:rsidR="00EB589E" w:rsidRPr="00EB589E" w:rsidRDefault="00EB589E" w:rsidP="00EB589E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EB589E">
        <w:rPr>
          <w:rFonts w:ascii="Arial" w:eastAsia="Times New Roman" w:hAnsi="Arial" w:cs="Arial"/>
          <w:color w:val="2F3437"/>
          <w:sz w:val="20"/>
          <w:szCs w:val="20"/>
          <w:lang w:eastAsia="nb-NO"/>
        </w:rPr>
        <w:t>Det er klageadgang på alle vedtak. Klagefristen er 3 uker. Nærmere orientering om klagebehandling framkommer av vedtaket</w:t>
      </w:r>
    </w:p>
    <w:p w:rsidR="00501B5D" w:rsidRPr="0000767A" w:rsidRDefault="00EB589E" w:rsidP="0000767A">
      <w:pPr>
        <w:spacing w:before="60" w:line="285" w:lineRule="atLeast"/>
        <w:rPr>
          <w:rFonts w:ascii="Arial" w:eastAsia="Times New Roman" w:hAnsi="Arial" w:cs="Arial"/>
          <w:color w:val="2F3437"/>
          <w:sz w:val="20"/>
          <w:szCs w:val="20"/>
          <w:lang w:eastAsia="nb-NO"/>
        </w:rPr>
      </w:pPr>
      <w:r w:rsidRPr="0000767A">
        <w:rPr>
          <w:rFonts w:ascii="Arial" w:eastAsia="Times New Roman" w:hAnsi="Arial" w:cs="Arial"/>
          <w:color w:val="2F3437"/>
          <w:sz w:val="20"/>
          <w:szCs w:val="20"/>
          <w:lang w:eastAsia="nb-NO"/>
        </w:rPr>
        <w:t xml:space="preserve">Søknadsskjema finnes på kundetorget, rådhuset, 8380 Ramberg.  Dette finner du også på kommunens hjemmeside:  </w:t>
      </w:r>
      <w:hyperlink r:id="rId8" w:history="1">
        <w:r w:rsidRPr="0014666C">
          <w:rPr>
            <w:rStyle w:val="Hyperkobling"/>
            <w:rFonts w:ascii="Arial" w:eastAsia="Times New Roman" w:hAnsi="Arial" w:cs="Arial"/>
            <w:color w:val="auto"/>
            <w:sz w:val="20"/>
            <w:szCs w:val="20"/>
            <w:lang w:eastAsia="nb-NO"/>
          </w:rPr>
          <w:t>www.flakstad.kommune.no</w:t>
        </w:r>
      </w:hyperlink>
      <w:r w:rsidRPr="0014666C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bookmarkStart w:id="0" w:name="_GoBack"/>
      <w:bookmarkEnd w:id="0"/>
    </w:p>
    <w:sectPr w:rsidR="00501B5D" w:rsidRPr="0000767A" w:rsidSect="000076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13"/>
    <w:multiLevelType w:val="multilevel"/>
    <w:tmpl w:val="51F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0BD2"/>
    <w:multiLevelType w:val="multilevel"/>
    <w:tmpl w:val="2EC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47627"/>
    <w:multiLevelType w:val="multilevel"/>
    <w:tmpl w:val="341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C3FF0"/>
    <w:multiLevelType w:val="multilevel"/>
    <w:tmpl w:val="328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97E85"/>
    <w:multiLevelType w:val="multilevel"/>
    <w:tmpl w:val="2C0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E"/>
    <w:rsid w:val="0000767A"/>
    <w:rsid w:val="0014666C"/>
    <w:rsid w:val="00221C4F"/>
    <w:rsid w:val="00294440"/>
    <w:rsid w:val="00501B5D"/>
    <w:rsid w:val="00B46599"/>
    <w:rsid w:val="00E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E3B39E-8A1D-4128-8E51-6F42244F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B58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59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0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1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ksta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no/Person/Familie/Grunn+og+hjelpestonad/Hjelpest%C3%B8nad.961.c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Bakkejord</dc:creator>
  <cp:keywords/>
  <dc:description/>
  <cp:lastModifiedBy>Ole Bakkejord</cp:lastModifiedBy>
  <cp:revision>4</cp:revision>
  <cp:lastPrinted>2015-11-26T10:08:00Z</cp:lastPrinted>
  <dcterms:created xsi:type="dcterms:W3CDTF">2015-11-26T09:53:00Z</dcterms:created>
  <dcterms:modified xsi:type="dcterms:W3CDTF">2016-02-09T12:19:00Z</dcterms:modified>
</cp:coreProperties>
</file>